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1513" w:rsidRDefault="00B21513" w:rsidP="00B21513">
      <w:pPr>
        <w:jc w:val="center"/>
        <w:rPr>
          <w:b/>
          <w:iCs/>
          <w:u w:val="single"/>
        </w:rPr>
      </w:pPr>
      <w:r>
        <w:rPr>
          <w:b/>
          <w:iCs/>
          <w:u w:val="single"/>
        </w:rPr>
        <w:t>REVISIÓN DE INCENTIVOS Y MECANISMOS FINANCIEROS DE CAQUETÁ</w:t>
      </w:r>
    </w:p>
    <w:p w:rsidR="00B21513" w:rsidRDefault="00B21513" w:rsidP="00B21513">
      <w:pPr>
        <w:jc w:val="center"/>
        <w:rPr>
          <w:b/>
          <w:iCs/>
          <w:u w:val="single"/>
        </w:rPr>
      </w:pPr>
    </w:p>
    <w:p w:rsidR="00B21513" w:rsidRDefault="00B21513" w:rsidP="00B21513">
      <w:pPr>
        <w:jc w:val="center"/>
        <w:rPr>
          <w:bCs/>
          <w:iCs/>
        </w:rPr>
      </w:pPr>
      <w:r>
        <w:rPr>
          <w:bCs/>
          <w:iCs/>
        </w:rPr>
        <w:t>María Adelaida Fernández-Muñoz y Mauricio Salazar Cadena</w:t>
      </w:r>
    </w:p>
    <w:p w:rsidR="00822A99" w:rsidRPr="00B21513" w:rsidRDefault="00DE7191" w:rsidP="00B21513">
      <w:pPr>
        <w:jc w:val="center"/>
        <w:rPr>
          <w:bCs/>
          <w:iCs/>
        </w:rPr>
      </w:pPr>
      <w:r>
        <w:rPr>
          <w:bCs/>
          <w:iCs/>
        </w:rPr>
        <w:t xml:space="preserve">Diciembre </w:t>
      </w:r>
      <w:bookmarkStart w:id="0" w:name="_GoBack"/>
      <w:bookmarkEnd w:id="0"/>
      <w:r w:rsidR="00822A99">
        <w:rPr>
          <w:bCs/>
          <w:iCs/>
        </w:rPr>
        <w:t>2019</w:t>
      </w:r>
    </w:p>
    <w:p w:rsidR="00B21513" w:rsidRDefault="00B21513" w:rsidP="002E6BB4">
      <w:pPr>
        <w:jc w:val="both"/>
        <w:rPr>
          <w:b/>
          <w:i/>
          <w:u w:val="single"/>
        </w:rPr>
      </w:pPr>
    </w:p>
    <w:p w:rsidR="00B21513" w:rsidRDefault="00B21513" w:rsidP="000F2CD9">
      <w:pPr>
        <w:pStyle w:val="Ttulo2"/>
      </w:pPr>
      <w:r>
        <w:t>Introducción</w:t>
      </w:r>
      <w:r w:rsidRPr="00B21513">
        <w:t xml:space="preserve">: </w:t>
      </w:r>
    </w:p>
    <w:p w:rsidR="00B21513" w:rsidRPr="00B21513" w:rsidRDefault="00B21513" w:rsidP="002E6BB4">
      <w:pPr>
        <w:jc w:val="both"/>
        <w:rPr>
          <w:bCs/>
          <w:iCs/>
        </w:rPr>
      </w:pPr>
      <w:r>
        <w:rPr>
          <w:bCs/>
          <w:iCs/>
        </w:rPr>
        <w:t>El siguiente documento recoge los resultados de la revisión de información secundaria y de la información obtenida en reuniones con diferentes actores clave, sobre los incentivos y mecanismos financieros existentes en el departamento del Caquetá. Su objetivo es servir de guía para proponer el “Sistema de incentivos y mecanismos financieros para apoyar la implementación de la Estrategia Baja en Emisiones de Caquetá”.</w:t>
      </w:r>
    </w:p>
    <w:p w:rsidR="00066D32" w:rsidRDefault="00066D32" w:rsidP="002E6BB4">
      <w:pPr>
        <w:jc w:val="both"/>
        <w:rPr>
          <w:b/>
          <w:i/>
          <w:u w:val="single"/>
        </w:rPr>
      </w:pPr>
    </w:p>
    <w:p w:rsidR="00185563" w:rsidRPr="002553AC" w:rsidRDefault="00185563" w:rsidP="00066D32">
      <w:pPr>
        <w:pStyle w:val="Ttulo2"/>
      </w:pPr>
      <w:r w:rsidRPr="002553AC">
        <w:t>P</w:t>
      </w:r>
      <w:r w:rsidR="004726F7">
        <w:t xml:space="preserve">ago por </w:t>
      </w:r>
      <w:r w:rsidRPr="002553AC">
        <w:t>S</w:t>
      </w:r>
      <w:r w:rsidR="004726F7">
        <w:t xml:space="preserve">ervicios </w:t>
      </w:r>
      <w:r w:rsidRPr="002553AC">
        <w:t>A</w:t>
      </w:r>
      <w:r w:rsidR="004726F7">
        <w:t>mbientales</w:t>
      </w:r>
      <w:r w:rsidRPr="002553AC">
        <w:t xml:space="preserve"> en Caquetá</w:t>
      </w:r>
      <w:r w:rsidR="004726F7">
        <w:t>:</w:t>
      </w:r>
    </w:p>
    <w:p w:rsidR="00185563" w:rsidRDefault="00185563" w:rsidP="00185563">
      <w:pPr>
        <w:jc w:val="both"/>
      </w:pPr>
      <w:r>
        <w:t>En la actualidad existen diferentes proyectos de PSA en curso o en periodo de estudio, aquí están los más importantes:</w:t>
      </w:r>
    </w:p>
    <w:p w:rsidR="00185563" w:rsidRDefault="00185563" w:rsidP="00185563">
      <w:pPr>
        <w:ind w:left="360"/>
        <w:jc w:val="both"/>
      </w:pPr>
    </w:p>
    <w:tbl>
      <w:tblPr>
        <w:tblW w:w="7260" w:type="dxa"/>
        <w:jc w:val="center"/>
        <w:tblCellMar>
          <w:left w:w="70" w:type="dxa"/>
          <w:right w:w="70" w:type="dxa"/>
        </w:tblCellMar>
        <w:tblLook w:val="04A0" w:firstRow="1" w:lastRow="0" w:firstColumn="1" w:lastColumn="0" w:noHBand="0" w:noVBand="1"/>
      </w:tblPr>
      <w:tblGrid>
        <w:gridCol w:w="3540"/>
        <w:gridCol w:w="1660"/>
        <w:gridCol w:w="2060"/>
      </w:tblGrid>
      <w:tr w:rsidR="00185563" w:rsidRPr="00874474" w:rsidTr="00E57F8B">
        <w:trPr>
          <w:trHeight w:val="300"/>
          <w:jc w:val="center"/>
        </w:trPr>
        <w:tc>
          <w:tcPr>
            <w:tcW w:w="3540" w:type="dxa"/>
            <w:tcBorders>
              <w:top w:val="nil"/>
              <w:left w:val="nil"/>
              <w:bottom w:val="nil"/>
              <w:right w:val="nil"/>
            </w:tcBorders>
            <w:shd w:val="clear" w:color="000000" w:fill="D6DCE4"/>
            <w:noWrap/>
            <w:vAlign w:val="bottom"/>
            <w:hideMark/>
          </w:tcPr>
          <w:p w:rsidR="00185563" w:rsidRPr="00874474" w:rsidRDefault="00185563" w:rsidP="00E57F8B">
            <w:pPr>
              <w:spacing w:after="0" w:line="240" w:lineRule="auto"/>
              <w:jc w:val="center"/>
              <w:rPr>
                <w:rFonts w:ascii="Calibri" w:eastAsia="Times New Roman" w:hAnsi="Calibri" w:cs="Calibri"/>
                <w:b/>
                <w:bCs/>
                <w:color w:val="000000"/>
                <w:sz w:val="18"/>
                <w:szCs w:val="18"/>
                <w:lang w:eastAsia="es-CO"/>
              </w:rPr>
            </w:pPr>
            <w:r w:rsidRPr="00874474">
              <w:rPr>
                <w:rFonts w:ascii="Calibri" w:eastAsia="Times New Roman" w:hAnsi="Calibri" w:cs="Calibri"/>
                <w:b/>
                <w:bCs/>
                <w:color w:val="000000"/>
                <w:sz w:val="18"/>
                <w:szCs w:val="18"/>
                <w:lang w:eastAsia="es-CO"/>
              </w:rPr>
              <w:t xml:space="preserve">Proyecto </w:t>
            </w:r>
          </w:p>
        </w:tc>
        <w:tc>
          <w:tcPr>
            <w:tcW w:w="1660" w:type="dxa"/>
            <w:tcBorders>
              <w:top w:val="nil"/>
              <w:left w:val="nil"/>
              <w:bottom w:val="nil"/>
              <w:right w:val="nil"/>
            </w:tcBorders>
            <w:shd w:val="clear" w:color="000000" w:fill="D6DCE4"/>
            <w:noWrap/>
            <w:vAlign w:val="bottom"/>
            <w:hideMark/>
          </w:tcPr>
          <w:p w:rsidR="00185563" w:rsidRPr="00874474" w:rsidRDefault="00185563" w:rsidP="00E57F8B">
            <w:pPr>
              <w:spacing w:after="0" w:line="240" w:lineRule="auto"/>
              <w:jc w:val="center"/>
              <w:rPr>
                <w:rFonts w:ascii="Calibri" w:eastAsia="Times New Roman" w:hAnsi="Calibri" w:cs="Calibri"/>
                <w:b/>
                <w:bCs/>
                <w:color w:val="000000"/>
                <w:sz w:val="18"/>
                <w:szCs w:val="18"/>
                <w:lang w:eastAsia="es-CO"/>
              </w:rPr>
            </w:pPr>
            <w:r w:rsidRPr="00874474">
              <w:rPr>
                <w:rFonts w:ascii="Calibri" w:eastAsia="Times New Roman" w:hAnsi="Calibri" w:cs="Calibri"/>
                <w:b/>
                <w:bCs/>
                <w:color w:val="000000"/>
                <w:sz w:val="18"/>
                <w:szCs w:val="18"/>
                <w:lang w:eastAsia="es-CO"/>
              </w:rPr>
              <w:t xml:space="preserve">Entidades a Cargo </w:t>
            </w:r>
          </w:p>
        </w:tc>
        <w:tc>
          <w:tcPr>
            <w:tcW w:w="2060" w:type="dxa"/>
            <w:tcBorders>
              <w:top w:val="nil"/>
              <w:left w:val="nil"/>
              <w:bottom w:val="nil"/>
              <w:right w:val="nil"/>
            </w:tcBorders>
            <w:shd w:val="clear" w:color="000000" w:fill="D6DCE4"/>
            <w:noWrap/>
            <w:vAlign w:val="bottom"/>
            <w:hideMark/>
          </w:tcPr>
          <w:p w:rsidR="00185563" w:rsidRPr="00874474" w:rsidRDefault="00185563" w:rsidP="00E57F8B">
            <w:pPr>
              <w:spacing w:after="0" w:line="240" w:lineRule="auto"/>
              <w:jc w:val="center"/>
              <w:rPr>
                <w:rFonts w:ascii="Calibri" w:eastAsia="Times New Roman" w:hAnsi="Calibri" w:cs="Calibri"/>
                <w:b/>
                <w:bCs/>
                <w:color w:val="000000"/>
                <w:sz w:val="18"/>
                <w:szCs w:val="18"/>
                <w:lang w:eastAsia="es-CO"/>
              </w:rPr>
            </w:pPr>
            <w:r w:rsidRPr="00874474">
              <w:rPr>
                <w:rFonts w:ascii="Calibri" w:eastAsia="Times New Roman" w:hAnsi="Calibri" w:cs="Calibri"/>
                <w:b/>
                <w:bCs/>
                <w:color w:val="000000"/>
                <w:sz w:val="18"/>
                <w:szCs w:val="18"/>
                <w:lang w:eastAsia="es-CO"/>
              </w:rPr>
              <w:t>Área Geográfica</w:t>
            </w:r>
          </w:p>
        </w:tc>
      </w:tr>
      <w:tr w:rsidR="00185563" w:rsidRPr="00874474" w:rsidTr="00E57F8B">
        <w:trPr>
          <w:trHeight w:val="1440"/>
          <w:jc w:val="center"/>
        </w:trPr>
        <w:tc>
          <w:tcPr>
            <w:tcW w:w="3540" w:type="dxa"/>
            <w:tcBorders>
              <w:top w:val="nil"/>
              <w:left w:val="nil"/>
              <w:bottom w:val="nil"/>
              <w:right w:val="nil"/>
            </w:tcBorders>
            <w:shd w:val="clear" w:color="auto" w:fill="auto"/>
            <w:vAlign w:val="center"/>
            <w:hideMark/>
          </w:tcPr>
          <w:p w:rsidR="00185563" w:rsidRPr="00874474" w:rsidRDefault="00185563" w:rsidP="00E57F8B">
            <w:pPr>
              <w:spacing w:after="0" w:line="240" w:lineRule="auto"/>
              <w:jc w:val="center"/>
              <w:rPr>
                <w:rFonts w:ascii="Calibri" w:eastAsia="Times New Roman" w:hAnsi="Calibri" w:cs="Calibri"/>
                <w:color w:val="000000"/>
                <w:sz w:val="18"/>
                <w:szCs w:val="18"/>
                <w:lang w:eastAsia="es-CO"/>
              </w:rPr>
            </w:pPr>
            <w:r w:rsidRPr="00874474">
              <w:rPr>
                <w:rFonts w:ascii="Calibri" w:eastAsia="Times New Roman" w:hAnsi="Calibri" w:cs="Calibri"/>
                <w:color w:val="000000"/>
                <w:sz w:val="18"/>
                <w:szCs w:val="18"/>
                <w:lang w:eastAsia="es-CO"/>
              </w:rPr>
              <w:t xml:space="preserve">Incentivos a la conservación tipo PSA hidrológico </w:t>
            </w:r>
          </w:p>
        </w:tc>
        <w:tc>
          <w:tcPr>
            <w:tcW w:w="1660" w:type="dxa"/>
            <w:tcBorders>
              <w:top w:val="nil"/>
              <w:left w:val="nil"/>
              <w:bottom w:val="nil"/>
              <w:right w:val="nil"/>
            </w:tcBorders>
            <w:shd w:val="clear" w:color="auto" w:fill="auto"/>
            <w:vAlign w:val="center"/>
            <w:hideMark/>
          </w:tcPr>
          <w:p w:rsidR="00185563" w:rsidRPr="00874474" w:rsidRDefault="00185563" w:rsidP="00E57F8B">
            <w:pPr>
              <w:spacing w:after="0" w:line="240" w:lineRule="auto"/>
              <w:jc w:val="center"/>
              <w:rPr>
                <w:rFonts w:ascii="Calibri" w:eastAsia="Times New Roman" w:hAnsi="Calibri" w:cs="Calibri"/>
                <w:color w:val="000000"/>
                <w:sz w:val="18"/>
                <w:szCs w:val="18"/>
                <w:lang w:eastAsia="es-CO"/>
              </w:rPr>
            </w:pPr>
            <w:r w:rsidRPr="00874474">
              <w:rPr>
                <w:rFonts w:ascii="Calibri" w:eastAsia="Times New Roman" w:hAnsi="Calibri" w:cs="Calibri"/>
                <w:color w:val="000000"/>
                <w:sz w:val="18"/>
                <w:szCs w:val="18"/>
                <w:lang w:eastAsia="es-CO"/>
              </w:rPr>
              <w:t>Fondo Patrimonio Natural y Misión Verde Amazonia</w:t>
            </w:r>
          </w:p>
        </w:tc>
        <w:tc>
          <w:tcPr>
            <w:tcW w:w="2060" w:type="dxa"/>
            <w:tcBorders>
              <w:top w:val="nil"/>
              <w:left w:val="nil"/>
              <w:bottom w:val="nil"/>
              <w:right w:val="nil"/>
            </w:tcBorders>
            <w:shd w:val="clear" w:color="auto" w:fill="auto"/>
            <w:vAlign w:val="center"/>
            <w:hideMark/>
          </w:tcPr>
          <w:p w:rsidR="00185563" w:rsidRPr="00874474" w:rsidRDefault="00185563" w:rsidP="00E57F8B">
            <w:pPr>
              <w:spacing w:after="0" w:line="240" w:lineRule="auto"/>
              <w:jc w:val="center"/>
              <w:rPr>
                <w:rFonts w:ascii="Calibri" w:eastAsia="Times New Roman" w:hAnsi="Calibri" w:cs="Calibri"/>
                <w:color w:val="000000"/>
                <w:sz w:val="18"/>
                <w:szCs w:val="18"/>
                <w:lang w:eastAsia="es-CO"/>
              </w:rPr>
            </w:pPr>
            <w:r w:rsidRPr="00874474">
              <w:rPr>
                <w:rFonts w:ascii="Calibri" w:eastAsia="Times New Roman" w:hAnsi="Calibri" w:cs="Calibri"/>
                <w:color w:val="000000"/>
                <w:sz w:val="18"/>
                <w:szCs w:val="18"/>
                <w:lang w:eastAsia="es-CO"/>
              </w:rPr>
              <w:t>Paisaje Andino-Amazónico en los municipios de San José del Fragua y Albania en Caquetá (microcuenca La Guinea)</w:t>
            </w:r>
          </w:p>
        </w:tc>
      </w:tr>
      <w:tr w:rsidR="00185563" w:rsidRPr="00874474" w:rsidTr="00E57F8B">
        <w:trPr>
          <w:trHeight w:val="960"/>
          <w:jc w:val="center"/>
        </w:trPr>
        <w:tc>
          <w:tcPr>
            <w:tcW w:w="3540" w:type="dxa"/>
            <w:tcBorders>
              <w:top w:val="nil"/>
              <w:left w:val="nil"/>
              <w:bottom w:val="nil"/>
              <w:right w:val="nil"/>
            </w:tcBorders>
            <w:shd w:val="clear" w:color="auto" w:fill="auto"/>
            <w:vAlign w:val="center"/>
            <w:hideMark/>
          </w:tcPr>
          <w:p w:rsidR="00185563" w:rsidRPr="00874474" w:rsidRDefault="00185563" w:rsidP="00E57F8B">
            <w:pPr>
              <w:spacing w:after="0" w:line="240" w:lineRule="auto"/>
              <w:jc w:val="center"/>
              <w:rPr>
                <w:rFonts w:ascii="Calibri" w:eastAsia="Times New Roman" w:hAnsi="Calibri" w:cs="Calibri"/>
                <w:color w:val="000000"/>
                <w:sz w:val="18"/>
                <w:szCs w:val="18"/>
                <w:lang w:eastAsia="es-CO"/>
              </w:rPr>
            </w:pPr>
            <w:r w:rsidRPr="00874474">
              <w:rPr>
                <w:rFonts w:ascii="Calibri" w:eastAsia="Times New Roman" w:hAnsi="Calibri" w:cs="Calibri"/>
                <w:color w:val="000000"/>
                <w:sz w:val="18"/>
                <w:szCs w:val="18"/>
                <w:lang w:eastAsia="es-CO"/>
              </w:rPr>
              <w:t>Implementación de Pagos por Servicios Ambientales en ecosistemas estratégicos del municipio de Florencia (300 hectáreas)</w:t>
            </w:r>
          </w:p>
        </w:tc>
        <w:tc>
          <w:tcPr>
            <w:tcW w:w="1660" w:type="dxa"/>
            <w:tcBorders>
              <w:top w:val="nil"/>
              <w:left w:val="nil"/>
              <w:bottom w:val="nil"/>
              <w:right w:val="nil"/>
            </w:tcBorders>
            <w:shd w:val="clear" w:color="auto" w:fill="auto"/>
            <w:vAlign w:val="center"/>
            <w:hideMark/>
          </w:tcPr>
          <w:p w:rsidR="00185563" w:rsidRPr="00874474" w:rsidRDefault="00185563" w:rsidP="00E57F8B">
            <w:pPr>
              <w:spacing w:after="0" w:line="240" w:lineRule="auto"/>
              <w:jc w:val="center"/>
              <w:rPr>
                <w:rFonts w:ascii="Calibri" w:eastAsia="Times New Roman" w:hAnsi="Calibri" w:cs="Calibri"/>
                <w:color w:val="000000"/>
                <w:sz w:val="18"/>
                <w:szCs w:val="18"/>
                <w:lang w:eastAsia="es-CO"/>
              </w:rPr>
            </w:pPr>
            <w:r w:rsidRPr="00874474">
              <w:rPr>
                <w:rFonts w:ascii="Calibri" w:eastAsia="Times New Roman" w:hAnsi="Calibri" w:cs="Calibri"/>
                <w:color w:val="000000"/>
                <w:sz w:val="18"/>
                <w:szCs w:val="18"/>
                <w:lang w:eastAsia="es-CO"/>
              </w:rPr>
              <w:t>Alcaldía Municipal de Florencia, Caquetá</w:t>
            </w:r>
          </w:p>
        </w:tc>
        <w:tc>
          <w:tcPr>
            <w:tcW w:w="2060" w:type="dxa"/>
            <w:tcBorders>
              <w:top w:val="nil"/>
              <w:left w:val="nil"/>
              <w:bottom w:val="nil"/>
              <w:right w:val="nil"/>
            </w:tcBorders>
            <w:shd w:val="clear" w:color="auto" w:fill="auto"/>
            <w:vAlign w:val="center"/>
            <w:hideMark/>
          </w:tcPr>
          <w:p w:rsidR="00185563" w:rsidRPr="00874474" w:rsidRDefault="00185563" w:rsidP="00E57F8B">
            <w:pPr>
              <w:spacing w:after="0" w:line="240" w:lineRule="auto"/>
              <w:jc w:val="center"/>
              <w:rPr>
                <w:rFonts w:ascii="Calibri" w:eastAsia="Times New Roman" w:hAnsi="Calibri" w:cs="Calibri"/>
                <w:color w:val="000000"/>
                <w:sz w:val="18"/>
                <w:szCs w:val="18"/>
                <w:lang w:eastAsia="es-CO"/>
              </w:rPr>
            </w:pPr>
            <w:r w:rsidRPr="00874474">
              <w:rPr>
                <w:rFonts w:ascii="Calibri" w:eastAsia="Times New Roman" w:hAnsi="Calibri" w:cs="Calibri"/>
                <w:color w:val="000000"/>
                <w:sz w:val="18"/>
                <w:szCs w:val="18"/>
                <w:lang w:eastAsia="es-CO"/>
              </w:rPr>
              <w:t xml:space="preserve">Área urbana y rural del municipio de Florencia </w:t>
            </w:r>
          </w:p>
        </w:tc>
      </w:tr>
      <w:tr w:rsidR="00185563" w:rsidRPr="00874474" w:rsidTr="00E57F8B">
        <w:trPr>
          <w:trHeight w:val="1680"/>
          <w:jc w:val="center"/>
        </w:trPr>
        <w:tc>
          <w:tcPr>
            <w:tcW w:w="3540" w:type="dxa"/>
            <w:tcBorders>
              <w:top w:val="nil"/>
              <w:left w:val="nil"/>
              <w:bottom w:val="nil"/>
              <w:right w:val="nil"/>
            </w:tcBorders>
            <w:shd w:val="clear" w:color="auto" w:fill="auto"/>
            <w:vAlign w:val="center"/>
            <w:hideMark/>
          </w:tcPr>
          <w:p w:rsidR="00185563" w:rsidRPr="00874474" w:rsidRDefault="00185563" w:rsidP="00E57F8B">
            <w:pPr>
              <w:spacing w:after="0" w:line="240" w:lineRule="auto"/>
              <w:jc w:val="center"/>
              <w:rPr>
                <w:rFonts w:ascii="Calibri" w:eastAsia="Times New Roman" w:hAnsi="Calibri" w:cs="Calibri"/>
                <w:color w:val="000000"/>
                <w:sz w:val="18"/>
                <w:szCs w:val="18"/>
                <w:lang w:eastAsia="es-CO"/>
              </w:rPr>
            </w:pPr>
            <w:r w:rsidRPr="00874474">
              <w:rPr>
                <w:rFonts w:ascii="Calibri" w:eastAsia="Times New Roman" w:hAnsi="Calibri" w:cs="Calibri"/>
                <w:color w:val="000000"/>
                <w:sz w:val="18"/>
                <w:szCs w:val="18"/>
                <w:lang w:eastAsia="es-CO"/>
              </w:rPr>
              <w:t xml:space="preserve">Conservación y recuperación de bienes y servicios ambientales en fuentes hídricas abastecedoras de incentivos en los municipios de Belén de los Andaquies, El Doncello, El Paujil, Florencia, Morelia, San José del Fragua - Departamento de Caquetá. </w:t>
            </w:r>
          </w:p>
        </w:tc>
        <w:tc>
          <w:tcPr>
            <w:tcW w:w="1660" w:type="dxa"/>
            <w:tcBorders>
              <w:top w:val="nil"/>
              <w:left w:val="nil"/>
              <w:bottom w:val="nil"/>
              <w:right w:val="nil"/>
            </w:tcBorders>
            <w:shd w:val="clear" w:color="auto" w:fill="auto"/>
            <w:vAlign w:val="center"/>
            <w:hideMark/>
          </w:tcPr>
          <w:p w:rsidR="00185563" w:rsidRPr="00874474" w:rsidRDefault="00185563" w:rsidP="00E57F8B">
            <w:pPr>
              <w:spacing w:after="0" w:line="240" w:lineRule="auto"/>
              <w:jc w:val="center"/>
              <w:rPr>
                <w:rFonts w:ascii="Calibri" w:eastAsia="Times New Roman" w:hAnsi="Calibri" w:cs="Calibri"/>
                <w:color w:val="000000"/>
                <w:sz w:val="18"/>
                <w:szCs w:val="18"/>
                <w:lang w:eastAsia="es-CO"/>
              </w:rPr>
            </w:pPr>
            <w:r w:rsidRPr="00874474">
              <w:rPr>
                <w:rFonts w:ascii="Calibri" w:eastAsia="Times New Roman" w:hAnsi="Calibri" w:cs="Calibri"/>
                <w:color w:val="000000"/>
                <w:sz w:val="18"/>
                <w:szCs w:val="18"/>
                <w:lang w:eastAsia="es-CO"/>
              </w:rPr>
              <w:t xml:space="preserve">Fondo Patrimonio Natural </w:t>
            </w:r>
          </w:p>
        </w:tc>
        <w:tc>
          <w:tcPr>
            <w:tcW w:w="2060" w:type="dxa"/>
            <w:tcBorders>
              <w:top w:val="nil"/>
              <w:left w:val="nil"/>
              <w:bottom w:val="nil"/>
              <w:right w:val="nil"/>
            </w:tcBorders>
            <w:shd w:val="clear" w:color="auto" w:fill="auto"/>
            <w:vAlign w:val="center"/>
            <w:hideMark/>
          </w:tcPr>
          <w:p w:rsidR="00185563" w:rsidRPr="00874474" w:rsidRDefault="00185563" w:rsidP="00E57F8B">
            <w:pPr>
              <w:spacing w:after="0" w:line="240" w:lineRule="auto"/>
              <w:jc w:val="center"/>
              <w:rPr>
                <w:rFonts w:ascii="Calibri" w:eastAsia="Times New Roman" w:hAnsi="Calibri" w:cs="Calibri"/>
                <w:color w:val="000000"/>
                <w:sz w:val="18"/>
                <w:szCs w:val="18"/>
                <w:lang w:eastAsia="es-CO"/>
              </w:rPr>
            </w:pPr>
            <w:r w:rsidRPr="00874474">
              <w:rPr>
                <w:rFonts w:ascii="Calibri" w:eastAsia="Times New Roman" w:hAnsi="Calibri" w:cs="Calibri"/>
                <w:color w:val="000000"/>
                <w:sz w:val="18"/>
                <w:szCs w:val="18"/>
                <w:lang w:eastAsia="es-CO"/>
              </w:rPr>
              <w:t xml:space="preserve">Municipios de Belen de los Andaquies, El Doncello, El Paujil, Florencia, Morelia, San José del Fragua - Departamento de Caquetá. </w:t>
            </w:r>
          </w:p>
        </w:tc>
      </w:tr>
    </w:tbl>
    <w:p w:rsidR="00185563" w:rsidRDefault="00185563" w:rsidP="00185563">
      <w:pPr>
        <w:jc w:val="both"/>
        <w:rPr>
          <w:i/>
          <w:u w:val="single"/>
        </w:rPr>
      </w:pPr>
    </w:p>
    <w:p w:rsidR="00185563" w:rsidRDefault="00185563" w:rsidP="00185563">
      <w:pPr>
        <w:jc w:val="both"/>
      </w:pPr>
      <w:r>
        <w:t xml:space="preserve">Para la primera fase del Programa Nacional de PSA se espera alcanzar cerca de 55.000 hectáreas bajo PSA asociado a la modalidad de conservación de sumideros de carbono, de los cuales 25.000 hectáreas serán involucradas a través del pilar de desarrollo agroambiental de la estrategia Visión Amazonia, que beneficiara a los departamentos de Caquetá, Sur del Meta, Guaviare, Putumayo, Guainía, Amazonas y Vaupés. </w:t>
      </w:r>
    </w:p>
    <w:p w:rsidR="00185563" w:rsidRDefault="00185563" w:rsidP="00185563">
      <w:pPr>
        <w:jc w:val="both"/>
      </w:pPr>
    </w:p>
    <w:tbl>
      <w:tblPr>
        <w:tblW w:w="10200" w:type="dxa"/>
        <w:tblInd w:w="-668" w:type="dxa"/>
        <w:tblCellMar>
          <w:left w:w="70" w:type="dxa"/>
          <w:right w:w="70" w:type="dxa"/>
        </w:tblCellMar>
        <w:tblLook w:val="04A0" w:firstRow="1" w:lastRow="0" w:firstColumn="1" w:lastColumn="0" w:noHBand="0" w:noVBand="1"/>
      </w:tblPr>
      <w:tblGrid>
        <w:gridCol w:w="1500"/>
        <w:gridCol w:w="2140"/>
        <w:gridCol w:w="1900"/>
        <w:gridCol w:w="1060"/>
        <w:gridCol w:w="3600"/>
      </w:tblGrid>
      <w:tr w:rsidR="00185563" w:rsidRPr="00E73D38" w:rsidTr="00E57F8B">
        <w:trPr>
          <w:trHeight w:val="480"/>
        </w:trPr>
        <w:tc>
          <w:tcPr>
            <w:tcW w:w="1500" w:type="dxa"/>
            <w:tcBorders>
              <w:top w:val="nil"/>
              <w:left w:val="nil"/>
              <w:bottom w:val="nil"/>
              <w:right w:val="nil"/>
            </w:tcBorders>
            <w:shd w:val="clear" w:color="000000" w:fill="E7E6E6"/>
            <w:noWrap/>
            <w:vAlign w:val="center"/>
            <w:hideMark/>
          </w:tcPr>
          <w:p w:rsidR="00185563" w:rsidRPr="00E73D38" w:rsidRDefault="00185563" w:rsidP="00E57F8B">
            <w:pPr>
              <w:spacing w:after="0" w:line="240" w:lineRule="auto"/>
              <w:jc w:val="center"/>
              <w:rPr>
                <w:rFonts w:ascii="Calibri" w:eastAsia="Times New Roman" w:hAnsi="Calibri" w:cs="Calibri"/>
                <w:b/>
                <w:bCs/>
                <w:color w:val="000000"/>
                <w:sz w:val="18"/>
                <w:szCs w:val="18"/>
                <w:lang w:eastAsia="es-CO"/>
              </w:rPr>
            </w:pPr>
            <w:r w:rsidRPr="00E73D38">
              <w:rPr>
                <w:rFonts w:ascii="Calibri" w:eastAsia="Times New Roman" w:hAnsi="Calibri" w:cs="Calibri"/>
                <w:b/>
                <w:bCs/>
                <w:color w:val="000000"/>
                <w:sz w:val="18"/>
                <w:szCs w:val="18"/>
                <w:lang w:eastAsia="es-CO"/>
              </w:rPr>
              <w:lastRenderedPageBreak/>
              <w:t xml:space="preserve">Departamento </w:t>
            </w:r>
          </w:p>
        </w:tc>
        <w:tc>
          <w:tcPr>
            <w:tcW w:w="2140" w:type="dxa"/>
            <w:tcBorders>
              <w:top w:val="nil"/>
              <w:left w:val="nil"/>
              <w:bottom w:val="nil"/>
              <w:right w:val="nil"/>
            </w:tcBorders>
            <w:shd w:val="clear" w:color="000000" w:fill="E7E6E6"/>
            <w:noWrap/>
            <w:vAlign w:val="center"/>
            <w:hideMark/>
          </w:tcPr>
          <w:p w:rsidR="00185563" w:rsidRPr="00E73D38" w:rsidRDefault="00185563" w:rsidP="00E57F8B">
            <w:pPr>
              <w:spacing w:after="0" w:line="240" w:lineRule="auto"/>
              <w:jc w:val="center"/>
              <w:rPr>
                <w:rFonts w:ascii="Calibri" w:eastAsia="Times New Roman" w:hAnsi="Calibri" w:cs="Calibri"/>
                <w:b/>
                <w:bCs/>
                <w:color w:val="000000"/>
                <w:sz w:val="18"/>
                <w:szCs w:val="18"/>
                <w:lang w:eastAsia="es-CO"/>
              </w:rPr>
            </w:pPr>
            <w:r w:rsidRPr="00E73D38">
              <w:rPr>
                <w:rFonts w:ascii="Calibri" w:eastAsia="Times New Roman" w:hAnsi="Calibri" w:cs="Calibri"/>
                <w:b/>
                <w:bCs/>
                <w:color w:val="000000"/>
                <w:sz w:val="18"/>
                <w:szCs w:val="18"/>
                <w:lang w:eastAsia="es-CO"/>
              </w:rPr>
              <w:t>Localización</w:t>
            </w:r>
          </w:p>
        </w:tc>
        <w:tc>
          <w:tcPr>
            <w:tcW w:w="1900" w:type="dxa"/>
            <w:tcBorders>
              <w:top w:val="nil"/>
              <w:left w:val="nil"/>
              <w:bottom w:val="nil"/>
              <w:right w:val="nil"/>
            </w:tcBorders>
            <w:shd w:val="clear" w:color="000000" w:fill="E7E6E6"/>
            <w:vAlign w:val="center"/>
            <w:hideMark/>
          </w:tcPr>
          <w:p w:rsidR="00185563" w:rsidRPr="00E73D38" w:rsidRDefault="00185563" w:rsidP="00E57F8B">
            <w:pPr>
              <w:spacing w:after="0" w:line="240" w:lineRule="auto"/>
              <w:jc w:val="center"/>
              <w:rPr>
                <w:rFonts w:ascii="Calibri" w:eastAsia="Times New Roman" w:hAnsi="Calibri" w:cs="Calibri"/>
                <w:b/>
                <w:bCs/>
                <w:color w:val="000000"/>
                <w:sz w:val="18"/>
                <w:szCs w:val="18"/>
                <w:lang w:eastAsia="es-CO"/>
              </w:rPr>
            </w:pPr>
            <w:r w:rsidRPr="00E73D38">
              <w:rPr>
                <w:rFonts w:ascii="Calibri" w:eastAsia="Times New Roman" w:hAnsi="Calibri" w:cs="Calibri"/>
                <w:b/>
                <w:bCs/>
                <w:color w:val="000000"/>
                <w:sz w:val="18"/>
                <w:szCs w:val="18"/>
                <w:lang w:eastAsia="es-CO"/>
              </w:rPr>
              <w:t xml:space="preserve">Hectáreas y predios beneficiados </w:t>
            </w:r>
          </w:p>
        </w:tc>
        <w:tc>
          <w:tcPr>
            <w:tcW w:w="1060" w:type="dxa"/>
            <w:tcBorders>
              <w:top w:val="nil"/>
              <w:left w:val="nil"/>
              <w:bottom w:val="nil"/>
              <w:right w:val="nil"/>
            </w:tcBorders>
            <w:shd w:val="clear" w:color="000000" w:fill="E7E6E6"/>
            <w:noWrap/>
            <w:vAlign w:val="center"/>
            <w:hideMark/>
          </w:tcPr>
          <w:p w:rsidR="00185563" w:rsidRPr="00E73D38" w:rsidRDefault="00185563" w:rsidP="00E57F8B">
            <w:pPr>
              <w:spacing w:after="0" w:line="240" w:lineRule="auto"/>
              <w:jc w:val="center"/>
              <w:rPr>
                <w:rFonts w:ascii="Calibri" w:eastAsia="Times New Roman" w:hAnsi="Calibri" w:cs="Calibri"/>
                <w:b/>
                <w:bCs/>
                <w:color w:val="000000"/>
                <w:sz w:val="18"/>
                <w:szCs w:val="18"/>
                <w:lang w:eastAsia="es-CO"/>
              </w:rPr>
            </w:pPr>
            <w:r w:rsidRPr="00E73D38">
              <w:rPr>
                <w:rFonts w:ascii="Calibri" w:eastAsia="Times New Roman" w:hAnsi="Calibri" w:cs="Calibri"/>
                <w:b/>
                <w:bCs/>
                <w:color w:val="000000"/>
                <w:sz w:val="18"/>
                <w:szCs w:val="18"/>
                <w:lang w:eastAsia="es-CO"/>
              </w:rPr>
              <w:t xml:space="preserve">Duración </w:t>
            </w:r>
          </w:p>
        </w:tc>
        <w:tc>
          <w:tcPr>
            <w:tcW w:w="3600" w:type="dxa"/>
            <w:tcBorders>
              <w:top w:val="nil"/>
              <w:left w:val="nil"/>
              <w:bottom w:val="nil"/>
              <w:right w:val="nil"/>
            </w:tcBorders>
            <w:shd w:val="clear" w:color="000000" w:fill="E7E6E6"/>
            <w:noWrap/>
            <w:vAlign w:val="center"/>
            <w:hideMark/>
          </w:tcPr>
          <w:p w:rsidR="00185563" w:rsidRPr="00E73D38" w:rsidRDefault="00185563" w:rsidP="00E57F8B">
            <w:pPr>
              <w:spacing w:after="0" w:line="240" w:lineRule="auto"/>
              <w:jc w:val="center"/>
              <w:rPr>
                <w:rFonts w:ascii="Calibri" w:eastAsia="Times New Roman" w:hAnsi="Calibri" w:cs="Calibri"/>
                <w:b/>
                <w:bCs/>
                <w:color w:val="000000"/>
                <w:sz w:val="18"/>
                <w:szCs w:val="18"/>
                <w:lang w:eastAsia="es-CO"/>
              </w:rPr>
            </w:pPr>
            <w:r w:rsidRPr="00E73D38">
              <w:rPr>
                <w:rFonts w:ascii="Calibri" w:eastAsia="Times New Roman" w:hAnsi="Calibri" w:cs="Calibri"/>
                <w:b/>
                <w:bCs/>
                <w:color w:val="000000"/>
                <w:sz w:val="18"/>
                <w:szCs w:val="18"/>
                <w:lang w:eastAsia="es-CO"/>
              </w:rPr>
              <w:t xml:space="preserve">Entidades involucradas </w:t>
            </w:r>
          </w:p>
        </w:tc>
      </w:tr>
      <w:tr w:rsidR="00185563" w:rsidRPr="00E73D38" w:rsidTr="00E57F8B">
        <w:trPr>
          <w:trHeight w:val="480"/>
        </w:trPr>
        <w:tc>
          <w:tcPr>
            <w:tcW w:w="1500" w:type="dxa"/>
            <w:vMerge w:val="restart"/>
            <w:tcBorders>
              <w:top w:val="nil"/>
              <w:left w:val="nil"/>
              <w:bottom w:val="nil"/>
              <w:right w:val="nil"/>
            </w:tcBorders>
            <w:shd w:val="clear" w:color="auto" w:fill="auto"/>
            <w:noWrap/>
            <w:vAlign w:val="center"/>
            <w:hideMark/>
          </w:tcPr>
          <w:p w:rsidR="00185563" w:rsidRPr="00E73D38" w:rsidRDefault="00185563" w:rsidP="00E57F8B">
            <w:pPr>
              <w:spacing w:after="0" w:line="240" w:lineRule="auto"/>
              <w:jc w:val="center"/>
              <w:rPr>
                <w:rFonts w:ascii="Calibri" w:eastAsia="Times New Roman" w:hAnsi="Calibri" w:cs="Calibri"/>
                <w:b/>
                <w:bCs/>
                <w:color w:val="000000"/>
                <w:sz w:val="18"/>
                <w:szCs w:val="18"/>
                <w:lang w:eastAsia="es-CO"/>
              </w:rPr>
            </w:pPr>
            <w:r w:rsidRPr="00E73D38">
              <w:rPr>
                <w:rFonts w:ascii="Calibri" w:eastAsia="Times New Roman" w:hAnsi="Calibri" w:cs="Calibri"/>
                <w:b/>
                <w:bCs/>
                <w:color w:val="000000"/>
                <w:sz w:val="18"/>
                <w:szCs w:val="18"/>
                <w:lang w:eastAsia="es-CO"/>
              </w:rPr>
              <w:t>CAQUETA</w:t>
            </w:r>
          </w:p>
        </w:tc>
        <w:tc>
          <w:tcPr>
            <w:tcW w:w="2140" w:type="dxa"/>
            <w:tcBorders>
              <w:top w:val="nil"/>
              <w:left w:val="nil"/>
              <w:bottom w:val="nil"/>
              <w:right w:val="nil"/>
            </w:tcBorders>
            <w:shd w:val="clear" w:color="auto" w:fill="auto"/>
            <w:noWrap/>
            <w:vAlign w:val="bottom"/>
            <w:hideMark/>
          </w:tcPr>
          <w:p w:rsidR="00185563" w:rsidRPr="00E73D38" w:rsidRDefault="00185563" w:rsidP="00E57F8B">
            <w:pPr>
              <w:spacing w:after="0" w:line="240" w:lineRule="auto"/>
              <w:jc w:val="center"/>
              <w:rPr>
                <w:rFonts w:ascii="Calibri" w:eastAsia="Times New Roman" w:hAnsi="Calibri" w:cs="Calibri"/>
                <w:color w:val="000000"/>
                <w:sz w:val="18"/>
                <w:szCs w:val="18"/>
                <w:lang w:eastAsia="es-CO"/>
              </w:rPr>
            </w:pPr>
            <w:r w:rsidRPr="00E73D38">
              <w:rPr>
                <w:rFonts w:ascii="Calibri" w:eastAsia="Times New Roman" w:hAnsi="Calibri" w:cs="Calibri"/>
                <w:color w:val="000000"/>
                <w:sz w:val="18"/>
                <w:szCs w:val="18"/>
                <w:lang w:eastAsia="es-CO"/>
              </w:rPr>
              <w:t>6 municipios</w:t>
            </w:r>
          </w:p>
        </w:tc>
        <w:tc>
          <w:tcPr>
            <w:tcW w:w="1900" w:type="dxa"/>
            <w:vMerge w:val="restart"/>
            <w:tcBorders>
              <w:top w:val="nil"/>
              <w:left w:val="nil"/>
              <w:bottom w:val="nil"/>
              <w:right w:val="nil"/>
            </w:tcBorders>
            <w:shd w:val="clear" w:color="auto" w:fill="auto"/>
            <w:vAlign w:val="center"/>
            <w:hideMark/>
          </w:tcPr>
          <w:p w:rsidR="00185563" w:rsidRPr="00E73D38" w:rsidRDefault="00185563" w:rsidP="00E57F8B">
            <w:pPr>
              <w:spacing w:after="0" w:line="240" w:lineRule="auto"/>
              <w:jc w:val="center"/>
              <w:rPr>
                <w:rFonts w:ascii="Calibri" w:eastAsia="Times New Roman" w:hAnsi="Calibri" w:cs="Calibri"/>
                <w:color w:val="000000"/>
                <w:sz w:val="18"/>
                <w:szCs w:val="18"/>
                <w:lang w:eastAsia="es-CO"/>
              </w:rPr>
            </w:pPr>
            <w:r w:rsidRPr="00E73D38">
              <w:rPr>
                <w:rFonts w:ascii="Calibri" w:eastAsia="Times New Roman" w:hAnsi="Calibri" w:cs="Calibri"/>
                <w:color w:val="000000"/>
                <w:sz w:val="18"/>
                <w:szCs w:val="18"/>
                <w:lang w:eastAsia="es-CO"/>
              </w:rPr>
              <w:t xml:space="preserve">1.000 hectáreas 150 predios </w:t>
            </w:r>
          </w:p>
        </w:tc>
        <w:tc>
          <w:tcPr>
            <w:tcW w:w="1060" w:type="dxa"/>
            <w:vMerge w:val="restart"/>
            <w:tcBorders>
              <w:top w:val="nil"/>
              <w:left w:val="nil"/>
              <w:bottom w:val="nil"/>
              <w:right w:val="nil"/>
            </w:tcBorders>
            <w:shd w:val="clear" w:color="auto" w:fill="auto"/>
            <w:vAlign w:val="center"/>
            <w:hideMark/>
          </w:tcPr>
          <w:p w:rsidR="00185563" w:rsidRPr="00E73D38" w:rsidRDefault="00185563" w:rsidP="00E57F8B">
            <w:pPr>
              <w:spacing w:after="0" w:line="240" w:lineRule="auto"/>
              <w:jc w:val="center"/>
              <w:rPr>
                <w:rFonts w:ascii="Calibri" w:eastAsia="Times New Roman" w:hAnsi="Calibri" w:cs="Calibri"/>
                <w:color w:val="000000"/>
                <w:sz w:val="18"/>
                <w:szCs w:val="18"/>
                <w:lang w:eastAsia="es-CO"/>
              </w:rPr>
            </w:pPr>
            <w:r w:rsidRPr="00E73D38">
              <w:rPr>
                <w:rFonts w:ascii="Calibri" w:eastAsia="Times New Roman" w:hAnsi="Calibri" w:cs="Calibri"/>
                <w:color w:val="000000"/>
                <w:sz w:val="18"/>
                <w:szCs w:val="18"/>
                <w:lang w:eastAsia="es-CO"/>
              </w:rPr>
              <w:t>2 años</w:t>
            </w:r>
          </w:p>
        </w:tc>
        <w:tc>
          <w:tcPr>
            <w:tcW w:w="3600" w:type="dxa"/>
            <w:vMerge w:val="restart"/>
            <w:tcBorders>
              <w:top w:val="nil"/>
              <w:left w:val="nil"/>
              <w:bottom w:val="nil"/>
              <w:right w:val="nil"/>
            </w:tcBorders>
            <w:shd w:val="clear" w:color="auto" w:fill="auto"/>
            <w:vAlign w:val="center"/>
            <w:hideMark/>
          </w:tcPr>
          <w:p w:rsidR="00185563" w:rsidRPr="00E73D38" w:rsidRDefault="00185563" w:rsidP="00E57F8B">
            <w:pPr>
              <w:spacing w:after="0" w:line="240" w:lineRule="auto"/>
              <w:jc w:val="center"/>
              <w:rPr>
                <w:rFonts w:ascii="Calibri" w:eastAsia="Times New Roman" w:hAnsi="Calibri" w:cs="Calibri"/>
                <w:color w:val="000000"/>
                <w:sz w:val="18"/>
                <w:szCs w:val="18"/>
                <w:lang w:eastAsia="es-CO"/>
              </w:rPr>
            </w:pPr>
            <w:r w:rsidRPr="00E73D38">
              <w:rPr>
                <w:rFonts w:ascii="Calibri" w:eastAsia="Times New Roman" w:hAnsi="Calibri" w:cs="Calibri"/>
                <w:color w:val="000000"/>
                <w:sz w:val="18"/>
                <w:szCs w:val="18"/>
                <w:lang w:eastAsia="es-CO"/>
              </w:rPr>
              <w:t xml:space="preserve">Gobernación de Caquetá, Patrimonio Natural - Programa Conservación y Gobernanza, Coorpoamazonia, San José del Fragua, Belén de los Anaquies, Morelia; Florencia; El Paujil, El Doncello, Fundación Picachos </w:t>
            </w:r>
          </w:p>
        </w:tc>
      </w:tr>
      <w:tr w:rsidR="00185563" w:rsidRPr="00E73D38" w:rsidTr="00E57F8B">
        <w:trPr>
          <w:trHeight w:val="960"/>
        </w:trPr>
        <w:tc>
          <w:tcPr>
            <w:tcW w:w="1500" w:type="dxa"/>
            <w:vMerge/>
            <w:tcBorders>
              <w:top w:val="nil"/>
              <w:left w:val="nil"/>
              <w:bottom w:val="nil"/>
              <w:right w:val="nil"/>
            </w:tcBorders>
            <w:vAlign w:val="center"/>
            <w:hideMark/>
          </w:tcPr>
          <w:p w:rsidR="00185563" w:rsidRPr="00E73D38" w:rsidRDefault="00185563" w:rsidP="00E57F8B">
            <w:pPr>
              <w:spacing w:after="0" w:line="240" w:lineRule="auto"/>
              <w:rPr>
                <w:rFonts w:ascii="Calibri" w:eastAsia="Times New Roman" w:hAnsi="Calibri" w:cs="Calibri"/>
                <w:b/>
                <w:bCs/>
                <w:color w:val="000000"/>
                <w:sz w:val="18"/>
                <w:szCs w:val="18"/>
                <w:lang w:eastAsia="es-CO"/>
              </w:rPr>
            </w:pPr>
          </w:p>
        </w:tc>
        <w:tc>
          <w:tcPr>
            <w:tcW w:w="2140" w:type="dxa"/>
            <w:tcBorders>
              <w:top w:val="nil"/>
              <w:left w:val="nil"/>
              <w:bottom w:val="nil"/>
              <w:right w:val="nil"/>
            </w:tcBorders>
            <w:shd w:val="clear" w:color="auto" w:fill="auto"/>
            <w:vAlign w:val="bottom"/>
            <w:hideMark/>
          </w:tcPr>
          <w:p w:rsidR="00185563" w:rsidRPr="00E73D38" w:rsidRDefault="00185563" w:rsidP="00E57F8B">
            <w:pPr>
              <w:spacing w:after="0" w:line="240" w:lineRule="auto"/>
              <w:jc w:val="center"/>
              <w:rPr>
                <w:rFonts w:ascii="Calibri" w:eastAsia="Times New Roman" w:hAnsi="Calibri" w:cs="Calibri"/>
                <w:color w:val="000000"/>
                <w:sz w:val="18"/>
                <w:szCs w:val="18"/>
                <w:lang w:eastAsia="es-CO"/>
              </w:rPr>
            </w:pPr>
            <w:r w:rsidRPr="00E73D38">
              <w:rPr>
                <w:rFonts w:ascii="Calibri" w:eastAsia="Times New Roman" w:hAnsi="Calibri" w:cs="Calibri"/>
                <w:color w:val="000000"/>
                <w:sz w:val="18"/>
                <w:szCs w:val="18"/>
                <w:lang w:eastAsia="es-CO"/>
              </w:rPr>
              <w:t xml:space="preserve">Veredas con influencia de las cuencas y microcuencas abastecedoras </w:t>
            </w:r>
          </w:p>
        </w:tc>
        <w:tc>
          <w:tcPr>
            <w:tcW w:w="1900" w:type="dxa"/>
            <w:vMerge/>
            <w:tcBorders>
              <w:top w:val="nil"/>
              <w:left w:val="nil"/>
              <w:bottom w:val="nil"/>
              <w:right w:val="nil"/>
            </w:tcBorders>
            <w:vAlign w:val="center"/>
            <w:hideMark/>
          </w:tcPr>
          <w:p w:rsidR="00185563" w:rsidRPr="00E73D38" w:rsidRDefault="00185563" w:rsidP="00E57F8B">
            <w:pPr>
              <w:spacing w:after="0" w:line="240" w:lineRule="auto"/>
              <w:rPr>
                <w:rFonts w:ascii="Calibri" w:eastAsia="Times New Roman" w:hAnsi="Calibri" w:cs="Calibri"/>
                <w:color w:val="000000"/>
                <w:sz w:val="18"/>
                <w:szCs w:val="18"/>
                <w:lang w:eastAsia="es-CO"/>
              </w:rPr>
            </w:pPr>
          </w:p>
        </w:tc>
        <w:tc>
          <w:tcPr>
            <w:tcW w:w="1060" w:type="dxa"/>
            <w:vMerge/>
            <w:tcBorders>
              <w:top w:val="nil"/>
              <w:left w:val="nil"/>
              <w:bottom w:val="nil"/>
              <w:right w:val="nil"/>
            </w:tcBorders>
            <w:vAlign w:val="center"/>
            <w:hideMark/>
          </w:tcPr>
          <w:p w:rsidR="00185563" w:rsidRPr="00E73D38" w:rsidRDefault="00185563" w:rsidP="00E57F8B">
            <w:pPr>
              <w:spacing w:after="0" w:line="240" w:lineRule="auto"/>
              <w:rPr>
                <w:rFonts w:ascii="Calibri" w:eastAsia="Times New Roman" w:hAnsi="Calibri" w:cs="Calibri"/>
                <w:color w:val="000000"/>
                <w:sz w:val="18"/>
                <w:szCs w:val="18"/>
                <w:lang w:eastAsia="es-CO"/>
              </w:rPr>
            </w:pPr>
          </w:p>
        </w:tc>
        <w:tc>
          <w:tcPr>
            <w:tcW w:w="3600" w:type="dxa"/>
            <w:vMerge/>
            <w:tcBorders>
              <w:top w:val="nil"/>
              <w:left w:val="nil"/>
              <w:bottom w:val="nil"/>
              <w:right w:val="nil"/>
            </w:tcBorders>
            <w:vAlign w:val="center"/>
            <w:hideMark/>
          </w:tcPr>
          <w:p w:rsidR="00185563" w:rsidRPr="00E73D38" w:rsidRDefault="00185563" w:rsidP="00E57F8B">
            <w:pPr>
              <w:spacing w:after="0" w:line="240" w:lineRule="auto"/>
              <w:rPr>
                <w:rFonts w:ascii="Calibri" w:eastAsia="Times New Roman" w:hAnsi="Calibri" w:cs="Calibri"/>
                <w:color w:val="000000"/>
                <w:sz w:val="18"/>
                <w:szCs w:val="18"/>
                <w:lang w:eastAsia="es-CO"/>
              </w:rPr>
            </w:pPr>
          </w:p>
        </w:tc>
      </w:tr>
    </w:tbl>
    <w:p w:rsidR="00185563" w:rsidRDefault="00185563" w:rsidP="00185563">
      <w:pPr>
        <w:jc w:val="center"/>
        <w:rPr>
          <w:sz w:val="16"/>
        </w:rPr>
      </w:pPr>
    </w:p>
    <w:p w:rsidR="00185563" w:rsidRPr="00204883" w:rsidRDefault="00185563" w:rsidP="00185563">
      <w:pPr>
        <w:jc w:val="center"/>
        <w:rPr>
          <w:sz w:val="16"/>
        </w:rPr>
      </w:pPr>
      <w:r w:rsidRPr="00E73D38">
        <w:rPr>
          <w:sz w:val="16"/>
        </w:rPr>
        <w:t>Fuente: Documento CONPES 3886. Lineamientos de política y Programa Nacional de PSA para la construcción de paz</w:t>
      </w:r>
    </w:p>
    <w:p w:rsidR="00185563" w:rsidRDefault="00185563" w:rsidP="00185563">
      <w:pPr>
        <w:pStyle w:val="Prrafodelista"/>
        <w:ind w:left="927"/>
        <w:jc w:val="both"/>
      </w:pPr>
    </w:p>
    <w:p w:rsidR="00185563" w:rsidRPr="007E72CA" w:rsidRDefault="00185563" w:rsidP="00066D32">
      <w:pPr>
        <w:pStyle w:val="Ttulo4"/>
      </w:pPr>
      <w:r w:rsidRPr="007E72CA">
        <w:t xml:space="preserve">Fortalecimiento de incentivos tipo PSA en Caquetá </w:t>
      </w:r>
    </w:p>
    <w:p w:rsidR="00185563" w:rsidRDefault="00185563" w:rsidP="00185563">
      <w:pPr>
        <w:jc w:val="both"/>
      </w:pPr>
      <w:r>
        <w:t xml:space="preserve">Este es un esfuerzo conjunto para el establecimiento de PSA entre la Gobernación, Fondo Patrimonio Natural y la Fundación Picacho. Fue pronosticado para realizarse entre el 2016 y 2019, a través de la financiación dada por el 1% de los ingresos corrientes, y ayuda de parte del Fondo Patrimonio Natural y Fundación Picacho. </w:t>
      </w:r>
    </w:p>
    <w:p w:rsidR="00185563" w:rsidRDefault="00185563" w:rsidP="00185563">
      <w:pPr>
        <w:jc w:val="both"/>
      </w:pPr>
      <w:r>
        <w:t xml:space="preserve">En lo que va de puesta en macha los predios promedio están entre las 50 y 60 hectáreas, con 81 familias firmantes de acuerdo, un área del 56% de los predios que se esta transformando. </w:t>
      </w:r>
    </w:p>
    <w:p w:rsidR="00185563" w:rsidRDefault="00185563" w:rsidP="00185563">
      <w:pPr>
        <w:jc w:val="both"/>
      </w:pPr>
      <w:r>
        <w:t xml:space="preserve">Entre los principales retos que salen a relucir están la disminución de la cantidad de brechas administrativas, la complementariedad con otras estrategias para no repetir los esfuerzos, la inclusión de agroforestales, la falta de financiación, la promoción de cambios culturales para el escalamiento. </w:t>
      </w:r>
    </w:p>
    <w:p w:rsidR="007E72CA" w:rsidRDefault="007E72CA" w:rsidP="007E72CA">
      <w:pPr>
        <w:jc w:val="both"/>
        <w:rPr>
          <w:i/>
          <w:u w:val="single"/>
        </w:rPr>
      </w:pPr>
    </w:p>
    <w:p w:rsidR="00185563" w:rsidRPr="007E72CA" w:rsidRDefault="00185563" w:rsidP="00066D32">
      <w:pPr>
        <w:pStyle w:val="Ttulo2"/>
      </w:pPr>
      <w:r w:rsidRPr="007E72CA">
        <w:t>Región Administrativa y de Planificación de la Región Amazónica</w:t>
      </w:r>
      <w:r w:rsidR="004726F7">
        <w:t xml:space="preserve"> (RAP-A)</w:t>
      </w:r>
    </w:p>
    <w:p w:rsidR="00185563" w:rsidRDefault="00185563" w:rsidP="00185563">
      <w:pPr>
        <w:jc w:val="both"/>
      </w:pPr>
      <w:r>
        <w:t>En el año 2017, se firmo el acuerdo de voluntades de los representantes de las entidades territoriales de Caquetá, Vaupés, Guainía, Amazonas, Putumayo y Guaviare, que es el primer paso para la conformación de la Región Administrativa y de Planificación de la región Amazónica (RAP-A).</w:t>
      </w:r>
    </w:p>
    <w:p w:rsidR="00185563" w:rsidRDefault="00185563" w:rsidP="00185563">
      <w:pPr>
        <w:jc w:val="both"/>
      </w:pPr>
      <w:r>
        <w:t xml:space="preserve">La RAP-A tiene como principal objetivo la construcción de un modelo sustentable, competitivo y en paz para la región Amazónica con cinco líneas estratégicas para su desarrollo: inclusión social, cultural, patrimonial y educativa para la paz; sustentabilidad ambiental y oferta de servicios ecosistémicos; ordenamiento y competitividad de la región Amazónica; infraestructura y servicios para la productividad urbana y rural de la región; y gobernanza y buen gobierno. </w:t>
      </w:r>
    </w:p>
    <w:p w:rsidR="00185563" w:rsidRDefault="00185563" w:rsidP="00185563">
      <w:pPr>
        <w:jc w:val="both"/>
      </w:pPr>
      <w:r>
        <w:t>A diciembre del 2018, la Asamblea Departamental dio un plazo de 2 años para que el departamento del Caquetá conforme la Región Administrativa y de Planificación.</w:t>
      </w:r>
    </w:p>
    <w:p w:rsidR="00185563" w:rsidRDefault="00185563" w:rsidP="00185563">
      <w:pPr>
        <w:jc w:val="both"/>
      </w:pPr>
    </w:p>
    <w:p w:rsidR="00185563" w:rsidRPr="007E72CA" w:rsidRDefault="00185563" w:rsidP="00066D32">
      <w:pPr>
        <w:pStyle w:val="Ttulo2"/>
      </w:pPr>
      <w:r w:rsidRPr="007E72CA">
        <w:t xml:space="preserve">Ruta del Queso en Caquetá </w:t>
      </w:r>
    </w:p>
    <w:p w:rsidR="00185563" w:rsidRDefault="00185563" w:rsidP="00185563">
      <w:pPr>
        <w:jc w:val="both"/>
      </w:pPr>
      <w:r>
        <w:t xml:space="preserve">La Ruta del Queso fue una estrategia sectorial con el objetivo de fortalecer la cadena de valor láctea regional  impulsada por el Comité de Ganaderos departamental junto con el programa de Conservación y Gobernanza en el Piedemonte Amazónico, que busca la reconciliación ganadera en </w:t>
      </w:r>
      <w:r>
        <w:lastRenderedPageBreak/>
        <w:t xml:space="preserve">pro de la conservación y freno de la deforestación. El apoyo se basa en el soporte financiero de la Unidad Gestora de la Marca Colectiva Queso Caquetá. </w:t>
      </w:r>
    </w:p>
    <w:p w:rsidR="00185563" w:rsidRDefault="00185563" w:rsidP="00185563">
      <w:pPr>
        <w:jc w:val="both"/>
      </w:pPr>
      <w:r>
        <w:t xml:space="preserve">Para el efecto, se incorporó el tema de la Escuela de Quesería Rural en eventos taller de formación los 70 beneficiarios del proyecto, con el objeto de capacitarles en relación con la elaboración estandarizada del Queso Picado Salado Industrial. Así mismo, se adelantaron las actividades de posicionamiento que en este documento se describen, ligadas a la promoción del portafolio de productos protegidos con la Denominación de Origen QUESO DEL CAQUETA. </w:t>
      </w:r>
    </w:p>
    <w:p w:rsidR="00185563" w:rsidRDefault="00185563" w:rsidP="00185563">
      <w:pPr>
        <w:jc w:val="both"/>
      </w:pPr>
      <w:r>
        <w:t xml:space="preserve">En la actualidad, el Comité Departamental de Ganaderos (CDGC) lidera la conformación de la Cadena Regional de la Leche, mediante la Secretaria Técnica de la Mesa Regional del Consejo Nacional Lácteo. Mediante este ejercicio se convoca de manera permanente a los diferentes eslabones de la cadena (productores, acopiadores, industrias transformadoras, comercializadores, e instituciones relacionadas) con quienes se mantiene comunicación y retroalimentación. Desde este trabajo que se ha realizado, fue evidente la necesidad de obtener la denominación de origen para el Queso de Caquetá, como una valiosa herramienta de comercialización de la leche departamental. </w:t>
      </w:r>
    </w:p>
    <w:p w:rsidR="00185563" w:rsidRDefault="00185563" w:rsidP="00185563">
      <w:pPr>
        <w:jc w:val="both"/>
      </w:pPr>
      <w:r>
        <w:t xml:space="preserve">El posicionamiento de la denominación de origen en 2016 se enfocó en las siguientes actividades: </w:t>
      </w:r>
    </w:p>
    <w:p w:rsidR="00185563" w:rsidRDefault="00185563" w:rsidP="00185563">
      <w:pPr>
        <w:pStyle w:val="Prrafodelista"/>
        <w:numPr>
          <w:ilvl w:val="0"/>
          <w:numId w:val="3"/>
        </w:numPr>
        <w:jc w:val="both"/>
      </w:pPr>
      <w:r>
        <w:t>Talleres de formación e instrucción en la elaboración del Queso Picado Salado Industrial.</w:t>
      </w:r>
    </w:p>
    <w:p w:rsidR="00185563" w:rsidRDefault="00185563" w:rsidP="00185563">
      <w:pPr>
        <w:pStyle w:val="Prrafodelista"/>
        <w:numPr>
          <w:ilvl w:val="0"/>
          <w:numId w:val="3"/>
        </w:numPr>
        <w:jc w:val="both"/>
      </w:pPr>
      <w:r>
        <w:t xml:space="preserve">Presencia del CDGCA a través de puntos de degustación, con el ánimo de dar a conocer la experiencia sensorial con el producto, y, al tiempo, las metas alcanzadas en relación con la atención integral a los eslabones primarios (finca – productor), secundarios (plantas procesadoras – industriales) y terciarios (mercados – consumidores), todo en el marco del apoyo a la conformación de la cadena de valor compartido. </w:t>
      </w:r>
    </w:p>
    <w:p w:rsidR="00185563" w:rsidRDefault="00185563" w:rsidP="00185563">
      <w:pPr>
        <w:pStyle w:val="Prrafodelista"/>
        <w:numPr>
          <w:ilvl w:val="0"/>
          <w:numId w:val="3"/>
        </w:numPr>
        <w:jc w:val="both"/>
      </w:pPr>
      <w:r>
        <w:t xml:space="preserve">Conferencias magistrales en las que se aborda el tema de la Denominación de Origen con el propósito de su divulgación y fortalecimiento. </w:t>
      </w:r>
    </w:p>
    <w:p w:rsidR="00185563" w:rsidRDefault="00185563" w:rsidP="00185563">
      <w:pPr>
        <w:jc w:val="both"/>
      </w:pPr>
      <w:r>
        <w:t xml:space="preserve">Dentro de las actividades detalladas están: </w:t>
      </w:r>
    </w:p>
    <w:p w:rsidR="00185563" w:rsidRDefault="00185563" w:rsidP="00185563">
      <w:pPr>
        <w:pStyle w:val="Prrafodelista"/>
        <w:numPr>
          <w:ilvl w:val="0"/>
          <w:numId w:val="4"/>
        </w:numPr>
        <w:jc w:val="both"/>
      </w:pPr>
      <w:r>
        <w:t xml:space="preserve">Primera vitrina turística y artesanal de Florencia. </w:t>
      </w:r>
    </w:p>
    <w:p w:rsidR="00185563" w:rsidRDefault="00185563" w:rsidP="00185563">
      <w:pPr>
        <w:pStyle w:val="Prrafodelista"/>
        <w:numPr>
          <w:ilvl w:val="0"/>
          <w:numId w:val="4"/>
        </w:numPr>
        <w:jc w:val="both"/>
      </w:pPr>
      <w:r>
        <w:t>Encuentro beneficiarios proyecto PNUD “Caquetá resiliente”</w:t>
      </w:r>
    </w:p>
    <w:p w:rsidR="00185563" w:rsidRDefault="00185563" w:rsidP="00185563">
      <w:pPr>
        <w:pStyle w:val="Prrafodelista"/>
        <w:numPr>
          <w:ilvl w:val="0"/>
          <w:numId w:val="4"/>
        </w:numPr>
        <w:jc w:val="both"/>
      </w:pPr>
      <w:r>
        <w:t>Primer curso de multiplicador FYCC en Florencia</w:t>
      </w:r>
    </w:p>
    <w:p w:rsidR="00185563" w:rsidRDefault="00185563" w:rsidP="00185563">
      <w:pPr>
        <w:pStyle w:val="Prrafodelista"/>
        <w:numPr>
          <w:ilvl w:val="0"/>
          <w:numId w:val="4"/>
        </w:numPr>
        <w:jc w:val="both"/>
      </w:pPr>
      <w:r>
        <w:t>54 expo Florencia 2016</w:t>
      </w:r>
    </w:p>
    <w:p w:rsidR="00185563" w:rsidRDefault="00185563" w:rsidP="00185563">
      <w:pPr>
        <w:pStyle w:val="Prrafodelista"/>
        <w:numPr>
          <w:ilvl w:val="0"/>
          <w:numId w:val="4"/>
        </w:numPr>
        <w:jc w:val="both"/>
      </w:pPr>
      <w:r>
        <w:t>Mercado institucional Ejército de Colombia</w:t>
      </w:r>
    </w:p>
    <w:p w:rsidR="00185563" w:rsidRDefault="00185563" w:rsidP="00185563">
      <w:pPr>
        <w:pStyle w:val="Prrafodelista"/>
        <w:numPr>
          <w:ilvl w:val="0"/>
          <w:numId w:val="4"/>
        </w:numPr>
        <w:jc w:val="both"/>
      </w:pPr>
      <w:r>
        <w:t>Feria sectores productivos y celebración del Dia de Europa en Caquetá</w:t>
      </w:r>
    </w:p>
    <w:p w:rsidR="00185563" w:rsidRDefault="00185563" w:rsidP="00185563">
      <w:pPr>
        <w:pStyle w:val="Prrafodelista"/>
        <w:numPr>
          <w:ilvl w:val="0"/>
          <w:numId w:val="4"/>
        </w:numPr>
        <w:jc w:val="both"/>
      </w:pPr>
      <w:r>
        <w:t>Asamblea ganadera 2016</w:t>
      </w:r>
    </w:p>
    <w:p w:rsidR="00185563" w:rsidRDefault="00185563" w:rsidP="00185563">
      <w:pPr>
        <w:pStyle w:val="Prrafodelista"/>
        <w:numPr>
          <w:ilvl w:val="0"/>
          <w:numId w:val="4"/>
        </w:numPr>
        <w:jc w:val="both"/>
      </w:pPr>
      <w:r>
        <w:t>XIV Feria de las Colonias, Corferias 2016</w:t>
      </w:r>
    </w:p>
    <w:p w:rsidR="00185563" w:rsidRDefault="00185563" w:rsidP="00185563">
      <w:pPr>
        <w:pStyle w:val="Prrafodelista"/>
        <w:numPr>
          <w:ilvl w:val="0"/>
          <w:numId w:val="4"/>
        </w:numPr>
        <w:jc w:val="both"/>
      </w:pPr>
      <w:r>
        <w:t>Feria Lanzamiento Pasión Caquetá, Bogotá 2016</w:t>
      </w:r>
    </w:p>
    <w:p w:rsidR="00185563" w:rsidRDefault="00185563" w:rsidP="00185563">
      <w:pPr>
        <w:pStyle w:val="Prrafodelista"/>
        <w:numPr>
          <w:ilvl w:val="0"/>
          <w:numId w:val="4"/>
        </w:numPr>
        <w:jc w:val="both"/>
      </w:pPr>
      <w:r>
        <w:t>Presentación Denominación de Origen autoridades Embajada USA</w:t>
      </w:r>
    </w:p>
    <w:p w:rsidR="00185563" w:rsidRDefault="00185563" w:rsidP="00185563">
      <w:pPr>
        <w:pStyle w:val="Prrafodelista"/>
        <w:numPr>
          <w:ilvl w:val="0"/>
          <w:numId w:val="4"/>
        </w:numPr>
        <w:jc w:val="both"/>
      </w:pPr>
      <w:r>
        <w:t>Primer seminario internacional de razas bovinas de América</w:t>
      </w:r>
    </w:p>
    <w:p w:rsidR="007E72CA" w:rsidRDefault="007E72CA" w:rsidP="00185563">
      <w:pPr>
        <w:spacing w:after="0" w:line="240" w:lineRule="auto"/>
        <w:rPr>
          <w:rFonts w:eastAsia="Times New Roman" w:cstheme="minorHAnsi"/>
          <w:i/>
          <w:sz w:val="24"/>
          <w:lang w:eastAsia="es-CO"/>
        </w:rPr>
      </w:pPr>
    </w:p>
    <w:p w:rsidR="00185563" w:rsidRPr="002553AC" w:rsidRDefault="00185563" w:rsidP="00066D32">
      <w:pPr>
        <w:pStyle w:val="Ttulo2"/>
        <w:rPr>
          <w:rFonts w:eastAsia="Times New Roman"/>
          <w:lang w:eastAsia="es-CO"/>
        </w:rPr>
      </w:pPr>
      <w:r w:rsidRPr="002553AC">
        <w:rPr>
          <w:rFonts w:eastAsia="Times New Roman"/>
          <w:lang w:eastAsia="es-CO"/>
        </w:rPr>
        <w:t>Piloto del ITPS en Caquetá y Guaviare (Visión Amazonia)</w:t>
      </w:r>
      <w:r w:rsidRPr="002553AC">
        <w:rPr>
          <w:rStyle w:val="Refdenotaalpie"/>
          <w:rFonts w:eastAsia="Times New Roman" w:cstheme="minorHAnsi"/>
          <w:b/>
          <w:i/>
          <w:u w:val="single"/>
          <w:lang w:eastAsia="es-CO"/>
        </w:rPr>
        <w:footnoteReference w:id="1"/>
      </w:r>
    </w:p>
    <w:p w:rsidR="00185563" w:rsidRPr="008F2FBD" w:rsidRDefault="00185563" w:rsidP="00185563">
      <w:pPr>
        <w:spacing w:after="0" w:line="240" w:lineRule="auto"/>
        <w:jc w:val="both"/>
        <w:rPr>
          <w:rFonts w:eastAsia="Times New Roman" w:cstheme="minorHAnsi"/>
          <w:lang w:eastAsia="es-CO"/>
        </w:rPr>
      </w:pPr>
    </w:p>
    <w:p w:rsidR="00185563" w:rsidRPr="002553AC" w:rsidRDefault="00185563" w:rsidP="00185563">
      <w:pPr>
        <w:spacing w:after="0" w:line="240" w:lineRule="auto"/>
        <w:jc w:val="both"/>
        <w:rPr>
          <w:rFonts w:eastAsia="Times New Roman" w:cstheme="minorHAnsi"/>
          <w:i/>
          <w:u w:val="single"/>
          <w:lang w:eastAsia="es-CO"/>
        </w:rPr>
      </w:pPr>
      <w:r w:rsidRPr="002553AC">
        <w:rPr>
          <w:rFonts w:eastAsia="Times New Roman" w:cstheme="minorHAnsi"/>
          <w:i/>
          <w:u w:val="single"/>
          <w:lang w:eastAsia="es-CO"/>
        </w:rPr>
        <w:lastRenderedPageBreak/>
        <w:t xml:space="preserve">Condiciones para implementación: </w:t>
      </w:r>
    </w:p>
    <w:p w:rsidR="00185563" w:rsidRPr="008F2FBD" w:rsidRDefault="00185563" w:rsidP="00185563">
      <w:pPr>
        <w:spacing w:after="0" w:line="240" w:lineRule="auto"/>
        <w:jc w:val="both"/>
        <w:rPr>
          <w:rFonts w:eastAsia="Times New Roman" w:cstheme="minorHAnsi"/>
          <w:b/>
          <w:i/>
          <w:u w:val="single"/>
          <w:lang w:eastAsia="es-CO"/>
        </w:rPr>
      </w:pPr>
    </w:p>
    <w:p w:rsidR="00185563" w:rsidRPr="008F2FBD" w:rsidRDefault="00185563" w:rsidP="00185563">
      <w:pPr>
        <w:pStyle w:val="Prrafodelista"/>
        <w:numPr>
          <w:ilvl w:val="0"/>
          <w:numId w:val="6"/>
        </w:numPr>
        <w:spacing w:after="0" w:line="240" w:lineRule="auto"/>
        <w:jc w:val="both"/>
        <w:rPr>
          <w:rFonts w:eastAsia="Times New Roman" w:cstheme="minorHAnsi"/>
          <w:lang w:eastAsia="es-CO"/>
        </w:rPr>
      </w:pPr>
      <w:r w:rsidRPr="008F2FBD">
        <w:rPr>
          <w:rFonts w:eastAsia="Times New Roman" w:cstheme="minorHAnsi"/>
          <w:lang w:eastAsia="es-CO"/>
        </w:rPr>
        <w:t xml:space="preserve">Realizar una zonificación del área para poder hacer una planificación de usos del suelo a nivel de paisaje. </w:t>
      </w:r>
    </w:p>
    <w:p w:rsidR="00185563" w:rsidRPr="008F2FBD" w:rsidRDefault="00185563" w:rsidP="00185563">
      <w:pPr>
        <w:pStyle w:val="Prrafodelista"/>
        <w:numPr>
          <w:ilvl w:val="0"/>
          <w:numId w:val="6"/>
        </w:numPr>
        <w:spacing w:after="0" w:line="240" w:lineRule="auto"/>
        <w:jc w:val="both"/>
        <w:rPr>
          <w:rFonts w:eastAsia="Times New Roman" w:cstheme="minorHAnsi"/>
          <w:lang w:eastAsia="es-CO"/>
        </w:rPr>
      </w:pPr>
      <w:r w:rsidRPr="008F2FBD">
        <w:rPr>
          <w:rFonts w:eastAsia="Times New Roman" w:cstheme="minorHAnsi"/>
          <w:lang w:eastAsia="es-CO"/>
        </w:rPr>
        <w:t>Focalizar y nuclear área de intervención para una implementación concentrada y de mayor eficiencia (economías de escala, disminución costos transporte e implementación servicios complementarios)</w:t>
      </w:r>
    </w:p>
    <w:p w:rsidR="00185563" w:rsidRPr="008F2FBD" w:rsidRDefault="00185563" w:rsidP="00185563">
      <w:pPr>
        <w:pStyle w:val="Prrafodelista"/>
        <w:numPr>
          <w:ilvl w:val="0"/>
          <w:numId w:val="6"/>
        </w:numPr>
        <w:spacing w:after="0" w:line="240" w:lineRule="auto"/>
        <w:jc w:val="both"/>
        <w:rPr>
          <w:rFonts w:eastAsia="Times New Roman" w:cstheme="minorHAnsi"/>
          <w:lang w:eastAsia="es-CO"/>
        </w:rPr>
      </w:pPr>
      <w:r w:rsidRPr="008F2FBD">
        <w:rPr>
          <w:rFonts w:eastAsia="Times New Roman" w:cstheme="minorHAnsi"/>
          <w:lang w:eastAsia="es-CO"/>
        </w:rPr>
        <w:t xml:space="preserve">Realizar primera simulación en campo del instrumento para verificar las condiciones de los productores e identificar posibles barreras. </w:t>
      </w:r>
    </w:p>
    <w:p w:rsidR="00185563" w:rsidRPr="008F2FBD" w:rsidRDefault="00185563" w:rsidP="00185563">
      <w:pPr>
        <w:pStyle w:val="Prrafodelista"/>
        <w:numPr>
          <w:ilvl w:val="0"/>
          <w:numId w:val="6"/>
        </w:numPr>
        <w:spacing w:after="0" w:line="240" w:lineRule="auto"/>
        <w:jc w:val="both"/>
        <w:rPr>
          <w:rFonts w:eastAsia="Times New Roman" w:cstheme="minorHAnsi"/>
          <w:lang w:eastAsia="es-CO"/>
        </w:rPr>
      </w:pPr>
      <w:r w:rsidRPr="008F2FBD">
        <w:rPr>
          <w:rFonts w:eastAsia="Times New Roman" w:cstheme="minorHAnsi"/>
          <w:lang w:eastAsia="es-CO"/>
        </w:rPr>
        <w:t>Identificar el proveedor de la asistencia técnica especializada a nivel predial y elaborar los ToRs para la provisión de servicios adicionales.</w:t>
      </w:r>
    </w:p>
    <w:p w:rsidR="00185563" w:rsidRPr="008F2FBD" w:rsidRDefault="00185563" w:rsidP="00185563">
      <w:pPr>
        <w:pStyle w:val="Prrafodelista"/>
        <w:numPr>
          <w:ilvl w:val="0"/>
          <w:numId w:val="6"/>
        </w:numPr>
        <w:spacing w:after="0" w:line="240" w:lineRule="auto"/>
        <w:jc w:val="both"/>
        <w:rPr>
          <w:rFonts w:eastAsia="Times New Roman" w:cstheme="minorHAnsi"/>
          <w:lang w:eastAsia="es-CO"/>
        </w:rPr>
      </w:pPr>
      <w:r w:rsidRPr="008F2FBD">
        <w:rPr>
          <w:rFonts w:eastAsia="Times New Roman" w:cstheme="minorHAnsi"/>
          <w:lang w:eastAsia="es-CO"/>
        </w:rPr>
        <w:t xml:space="preserve">Otorgar el crédito condicionado a: un plan predial, un plan de negocios viable, la firma de acuerdos de preservación y la existencia de un integrador a la cadena de valor. </w:t>
      </w:r>
    </w:p>
    <w:p w:rsidR="00185563" w:rsidRPr="008F2FBD" w:rsidRDefault="00185563" w:rsidP="00185563">
      <w:pPr>
        <w:pStyle w:val="Prrafodelista"/>
        <w:numPr>
          <w:ilvl w:val="0"/>
          <w:numId w:val="6"/>
        </w:numPr>
        <w:spacing w:after="0" w:line="240" w:lineRule="auto"/>
        <w:jc w:val="both"/>
        <w:rPr>
          <w:rFonts w:eastAsia="Times New Roman" w:cstheme="minorHAnsi"/>
          <w:lang w:eastAsia="es-CO"/>
        </w:rPr>
      </w:pPr>
      <w:r w:rsidRPr="008F2FBD">
        <w:rPr>
          <w:rFonts w:eastAsia="Times New Roman" w:cstheme="minorHAnsi"/>
          <w:lang w:eastAsia="es-CO"/>
        </w:rPr>
        <w:t xml:space="preserve">Otorgar incentivos condicionados a la liberación de áreas para restauración pasiva o productiva. </w:t>
      </w:r>
    </w:p>
    <w:p w:rsidR="00185563" w:rsidRPr="008F2FBD" w:rsidRDefault="00185563" w:rsidP="00185563">
      <w:pPr>
        <w:pStyle w:val="Prrafodelista"/>
        <w:numPr>
          <w:ilvl w:val="0"/>
          <w:numId w:val="6"/>
        </w:numPr>
        <w:spacing w:after="0" w:line="240" w:lineRule="auto"/>
        <w:jc w:val="both"/>
        <w:rPr>
          <w:rFonts w:eastAsia="Times New Roman" w:cstheme="minorHAnsi"/>
          <w:lang w:eastAsia="es-CO"/>
        </w:rPr>
      </w:pPr>
      <w:r w:rsidRPr="008F2FBD">
        <w:rPr>
          <w:rFonts w:eastAsia="Times New Roman" w:cstheme="minorHAnsi"/>
          <w:lang w:eastAsia="es-CO"/>
        </w:rPr>
        <w:t xml:space="preserve">Implementar sistema de monitoreo e información. </w:t>
      </w:r>
    </w:p>
    <w:p w:rsidR="00185563" w:rsidRDefault="00185563" w:rsidP="00185563">
      <w:pPr>
        <w:pStyle w:val="Prrafodelista"/>
        <w:numPr>
          <w:ilvl w:val="0"/>
          <w:numId w:val="6"/>
        </w:numPr>
        <w:spacing w:after="0" w:line="240" w:lineRule="auto"/>
        <w:jc w:val="both"/>
        <w:rPr>
          <w:rFonts w:eastAsia="Times New Roman" w:cstheme="minorHAnsi"/>
          <w:lang w:eastAsia="es-CO"/>
        </w:rPr>
      </w:pPr>
      <w:r w:rsidRPr="008F2FBD">
        <w:rPr>
          <w:rFonts w:eastAsia="Times New Roman" w:cstheme="minorHAnsi"/>
          <w:lang w:eastAsia="es-CO"/>
        </w:rPr>
        <w:t xml:space="preserve">Realizar aprestamiento en campo de los técnicos de Banco Agrario para su capacitación. </w:t>
      </w:r>
    </w:p>
    <w:p w:rsidR="00185563" w:rsidRDefault="00185563" w:rsidP="00185563">
      <w:pPr>
        <w:spacing w:after="0" w:line="240" w:lineRule="auto"/>
        <w:jc w:val="both"/>
        <w:rPr>
          <w:rFonts w:eastAsia="Times New Roman" w:cstheme="minorHAnsi"/>
          <w:lang w:eastAsia="es-CO"/>
        </w:rPr>
      </w:pPr>
    </w:p>
    <w:p w:rsidR="00185563" w:rsidRPr="002553AC" w:rsidRDefault="00185563" w:rsidP="00185563">
      <w:pPr>
        <w:spacing w:after="0" w:line="240" w:lineRule="auto"/>
        <w:jc w:val="both"/>
        <w:rPr>
          <w:rFonts w:eastAsia="Times New Roman" w:cstheme="minorHAnsi"/>
          <w:i/>
          <w:u w:val="single"/>
          <w:lang w:eastAsia="es-CO"/>
        </w:rPr>
      </w:pPr>
      <w:r w:rsidRPr="002553AC">
        <w:rPr>
          <w:rFonts w:eastAsia="Times New Roman" w:cstheme="minorHAnsi"/>
          <w:i/>
          <w:u w:val="single"/>
          <w:lang w:eastAsia="es-CO"/>
        </w:rPr>
        <w:t xml:space="preserve">Condiciones del Instrumento </w:t>
      </w:r>
    </w:p>
    <w:p w:rsidR="00185563" w:rsidRDefault="00185563" w:rsidP="00185563">
      <w:pPr>
        <w:spacing w:after="0" w:line="240" w:lineRule="auto"/>
        <w:jc w:val="both"/>
        <w:rPr>
          <w:rFonts w:eastAsia="Times New Roman" w:cstheme="minorHAnsi"/>
          <w:lang w:eastAsia="es-CO"/>
        </w:rPr>
      </w:pPr>
      <w:r>
        <w:rPr>
          <w:rFonts w:eastAsia="Times New Roman" w:cstheme="minorHAnsi"/>
          <w:lang w:eastAsia="es-CO"/>
        </w:rPr>
        <w:t xml:space="preserve"> </w:t>
      </w:r>
    </w:p>
    <w:p w:rsidR="00185563" w:rsidRDefault="00185563" w:rsidP="00185563">
      <w:pPr>
        <w:pStyle w:val="Prrafodelista"/>
        <w:numPr>
          <w:ilvl w:val="0"/>
          <w:numId w:val="5"/>
        </w:numPr>
        <w:spacing w:after="0" w:line="240" w:lineRule="auto"/>
        <w:jc w:val="both"/>
        <w:rPr>
          <w:rFonts w:eastAsia="Times New Roman" w:cstheme="minorHAnsi"/>
          <w:lang w:eastAsia="es-CO"/>
        </w:rPr>
      </w:pPr>
      <w:r w:rsidRPr="00D93D8B">
        <w:rPr>
          <w:rFonts w:eastAsia="Times New Roman" w:cstheme="minorHAnsi"/>
          <w:b/>
          <w:lang w:eastAsia="es-CO"/>
        </w:rPr>
        <w:t>Monto del crédito :</w:t>
      </w:r>
      <w:r w:rsidRPr="00D93D8B">
        <w:rPr>
          <w:rFonts w:eastAsia="Times New Roman" w:cstheme="minorHAnsi"/>
          <w:lang w:eastAsia="es-CO"/>
        </w:rPr>
        <w:t xml:space="preserve"> hasta por 20 millones de pesos para pequeños productores. </w:t>
      </w:r>
    </w:p>
    <w:p w:rsidR="00185563" w:rsidRPr="00D93D8B" w:rsidRDefault="00185563" w:rsidP="00185563">
      <w:pPr>
        <w:pStyle w:val="Prrafodelista"/>
        <w:numPr>
          <w:ilvl w:val="0"/>
          <w:numId w:val="5"/>
        </w:numPr>
        <w:spacing w:after="0" w:line="240" w:lineRule="auto"/>
        <w:jc w:val="both"/>
        <w:rPr>
          <w:rFonts w:eastAsia="Times New Roman" w:cstheme="minorHAnsi"/>
          <w:lang w:eastAsia="es-CO"/>
        </w:rPr>
      </w:pPr>
      <w:r w:rsidRPr="00D93D8B">
        <w:rPr>
          <w:rFonts w:eastAsia="Times New Roman" w:cstheme="minorHAnsi"/>
          <w:b/>
          <w:lang w:eastAsia="es-CO"/>
        </w:rPr>
        <w:t>Plazo máximo:</w:t>
      </w:r>
      <w:r w:rsidRPr="00D93D8B">
        <w:rPr>
          <w:rFonts w:eastAsia="Times New Roman" w:cstheme="minorHAnsi"/>
          <w:lang w:eastAsia="es-CO"/>
        </w:rPr>
        <w:t xml:space="preserve"> hasta 7 años. </w:t>
      </w:r>
    </w:p>
    <w:p w:rsidR="00185563" w:rsidRDefault="00185563" w:rsidP="00185563">
      <w:pPr>
        <w:pStyle w:val="Prrafodelista"/>
        <w:numPr>
          <w:ilvl w:val="0"/>
          <w:numId w:val="5"/>
        </w:numPr>
        <w:spacing w:after="0" w:line="240" w:lineRule="auto"/>
        <w:jc w:val="both"/>
        <w:rPr>
          <w:rFonts w:eastAsia="Times New Roman" w:cstheme="minorHAnsi"/>
          <w:lang w:eastAsia="es-CO"/>
        </w:rPr>
      </w:pPr>
      <w:r>
        <w:rPr>
          <w:rFonts w:eastAsia="Times New Roman" w:cstheme="minorHAnsi"/>
          <w:b/>
          <w:lang w:eastAsia="es-CO"/>
        </w:rPr>
        <w:t>Periodo de gracia:</w:t>
      </w:r>
      <w:r>
        <w:rPr>
          <w:rFonts w:eastAsia="Times New Roman" w:cstheme="minorHAnsi"/>
          <w:lang w:eastAsia="es-CO"/>
        </w:rPr>
        <w:t xml:space="preserve"> Un año de pago a capital.</w:t>
      </w:r>
    </w:p>
    <w:p w:rsidR="00185563" w:rsidRDefault="00185563" w:rsidP="00185563">
      <w:pPr>
        <w:pStyle w:val="Prrafodelista"/>
        <w:numPr>
          <w:ilvl w:val="0"/>
          <w:numId w:val="5"/>
        </w:numPr>
        <w:spacing w:after="0" w:line="240" w:lineRule="auto"/>
        <w:jc w:val="both"/>
        <w:rPr>
          <w:rFonts w:eastAsia="Times New Roman" w:cstheme="minorHAnsi"/>
          <w:lang w:eastAsia="es-CO"/>
        </w:rPr>
      </w:pPr>
      <w:r>
        <w:rPr>
          <w:rFonts w:eastAsia="Times New Roman" w:cstheme="minorHAnsi"/>
          <w:b/>
          <w:lang w:eastAsia="es-CO"/>
        </w:rPr>
        <w:t>Tasa de redescuento:</w:t>
      </w:r>
      <w:r>
        <w:rPr>
          <w:rFonts w:eastAsia="Times New Roman" w:cstheme="minorHAnsi"/>
          <w:lang w:eastAsia="es-CO"/>
        </w:rPr>
        <w:t xml:space="preserve"> DTF – 2.5% </w:t>
      </w:r>
    </w:p>
    <w:p w:rsidR="00185563" w:rsidRDefault="00185563" w:rsidP="00185563">
      <w:pPr>
        <w:pStyle w:val="Prrafodelista"/>
        <w:numPr>
          <w:ilvl w:val="0"/>
          <w:numId w:val="5"/>
        </w:numPr>
        <w:spacing w:after="0" w:line="240" w:lineRule="auto"/>
        <w:jc w:val="both"/>
        <w:rPr>
          <w:rFonts w:eastAsia="Times New Roman" w:cstheme="minorHAnsi"/>
          <w:lang w:eastAsia="es-CO"/>
        </w:rPr>
      </w:pPr>
      <w:r>
        <w:rPr>
          <w:rFonts w:eastAsia="Times New Roman" w:cstheme="minorHAnsi"/>
          <w:b/>
          <w:lang w:eastAsia="es-CO"/>
        </w:rPr>
        <w:t>Periodicidad del pago:</w:t>
      </w:r>
      <w:r>
        <w:rPr>
          <w:rFonts w:eastAsia="Times New Roman" w:cstheme="minorHAnsi"/>
          <w:lang w:eastAsia="es-CO"/>
        </w:rPr>
        <w:t xml:space="preserve"> mensual.</w:t>
      </w:r>
    </w:p>
    <w:p w:rsidR="00185563" w:rsidRDefault="00185563" w:rsidP="00185563">
      <w:pPr>
        <w:pStyle w:val="Prrafodelista"/>
        <w:numPr>
          <w:ilvl w:val="0"/>
          <w:numId w:val="5"/>
        </w:numPr>
        <w:spacing w:after="0" w:line="240" w:lineRule="auto"/>
        <w:jc w:val="both"/>
        <w:rPr>
          <w:rFonts w:eastAsia="Times New Roman" w:cstheme="minorHAnsi"/>
          <w:lang w:eastAsia="es-CO"/>
        </w:rPr>
      </w:pPr>
      <w:r>
        <w:rPr>
          <w:rFonts w:eastAsia="Times New Roman" w:cstheme="minorHAnsi"/>
          <w:b/>
          <w:lang w:eastAsia="es-CO"/>
        </w:rPr>
        <w:t>Tasa de interés:</w:t>
      </w:r>
      <w:r>
        <w:rPr>
          <w:rFonts w:eastAsia="Times New Roman" w:cstheme="minorHAnsi"/>
          <w:lang w:eastAsia="es-CO"/>
        </w:rPr>
        <w:t xml:space="preserve"> 5.5% para pequeños productores. </w:t>
      </w:r>
    </w:p>
    <w:p w:rsidR="00185563" w:rsidRDefault="00185563" w:rsidP="00185563">
      <w:pPr>
        <w:pStyle w:val="Prrafodelista"/>
        <w:numPr>
          <w:ilvl w:val="0"/>
          <w:numId w:val="5"/>
        </w:numPr>
        <w:spacing w:after="0" w:line="240" w:lineRule="auto"/>
        <w:jc w:val="both"/>
        <w:rPr>
          <w:rFonts w:eastAsia="Times New Roman" w:cstheme="minorHAnsi"/>
          <w:lang w:eastAsia="es-CO"/>
        </w:rPr>
      </w:pPr>
      <w:r>
        <w:rPr>
          <w:rFonts w:eastAsia="Times New Roman" w:cstheme="minorHAnsi"/>
          <w:b/>
          <w:lang w:eastAsia="es-CO"/>
        </w:rPr>
        <w:t>Acceso al FAG:</w:t>
      </w:r>
      <w:r>
        <w:rPr>
          <w:rFonts w:eastAsia="Times New Roman" w:cstheme="minorHAnsi"/>
          <w:lang w:eastAsia="es-CO"/>
        </w:rPr>
        <w:t xml:space="preserve"> cuando sea necesario, hasta el 80% para pequeños productores. El desembolso se realiza 50% en efectivo al productor durante el primer año y otro 50% el segundo año o según el avance de las inversiones iniciales. </w:t>
      </w:r>
    </w:p>
    <w:p w:rsidR="00185563" w:rsidRDefault="00185563" w:rsidP="00185563">
      <w:pPr>
        <w:spacing w:after="0" w:line="240" w:lineRule="auto"/>
        <w:jc w:val="both"/>
        <w:rPr>
          <w:rFonts w:eastAsia="Times New Roman" w:cstheme="minorHAnsi"/>
          <w:lang w:eastAsia="es-CO"/>
        </w:rPr>
      </w:pPr>
    </w:p>
    <w:p w:rsidR="00185563" w:rsidRPr="002553AC" w:rsidRDefault="00185563" w:rsidP="00185563">
      <w:pPr>
        <w:spacing w:after="0" w:line="240" w:lineRule="auto"/>
        <w:jc w:val="both"/>
        <w:rPr>
          <w:rFonts w:eastAsia="Times New Roman" w:cstheme="minorHAnsi"/>
          <w:i/>
          <w:u w:val="single"/>
          <w:lang w:eastAsia="es-CO"/>
        </w:rPr>
      </w:pPr>
      <w:r w:rsidRPr="002553AC">
        <w:rPr>
          <w:rFonts w:eastAsia="Times New Roman" w:cstheme="minorHAnsi"/>
          <w:i/>
          <w:u w:val="single"/>
          <w:lang w:eastAsia="es-CO"/>
        </w:rPr>
        <w:t xml:space="preserve">Incentivos asociados </w:t>
      </w:r>
    </w:p>
    <w:p w:rsidR="00185563" w:rsidRDefault="00185563" w:rsidP="00185563">
      <w:pPr>
        <w:spacing w:after="0" w:line="240" w:lineRule="auto"/>
        <w:jc w:val="both"/>
        <w:rPr>
          <w:rFonts w:eastAsia="Times New Roman" w:cstheme="minorHAnsi"/>
          <w:lang w:eastAsia="es-CO"/>
        </w:rPr>
      </w:pPr>
    </w:p>
    <w:p w:rsidR="00185563" w:rsidRPr="00D93D8B" w:rsidRDefault="00185563" w:rsidP="00185563">
      <w:pPr>
        <w:pStyle w:val="Prrafodelista"/>
        <w:numPr>
          <w:ilvl w:val="0"/>
          <w:numId w:val="5"/>
        </w:numPr>
        <w:spacing w:after="0" w:line="240" w:lineRule="auto"/>
        <w:jc w:val="both"/>
        <w:rPr>
          <w:rFonts w:eastAsia="Times New Roman" w:cstheme="minorHAnsi"/>
          <w:lang w:eastAsia="es-CO"/>
        </w:rPr>
      </w:pPr>
      <w:r w:rsidRPr="00D93D8B">
        <w:rPr>
          <w:rFonts w:eastAsia="Times New Roman" w:cstheme="minorHAnsi"/>
          <w:b/>
          <w:lang w:eastAsia="es-CO"/>
        </w:rPr>
        <w:t>Subsidio a la tasa</w:t>
      </w:r>
      <w:r w:rsidRPr="00D93D8B">
        <w:rPr>
          <w:rFonts w:eastAsia="Times New Roman" w:cstheme="minorHAnsi"/>
          <w:lang w:eastAsia="es-CO"/>
        </w:rPr>
        <w:t xml:space="preserve"> de 5.5%</w:t>
      </w:r>
    </w:p>
    <w:p w:rsidR="00185563" w:rsidRPr="00D93D8B" w:rsidRDefault="00185563" w:rsidP="00185563">
      <w:pPr>
        <w:pStyle w:val="Prrafodelista"/>
        <w:numPr>
          <w:ilvl w:val="0"/>
          <w:numId w:val="5"/>
        </w:numPr>
        <w:spacing w:after="0" w:line="240" w:lineRule="auto"/>
        <w:jc w:val="both"/>
        <w:rPr>
          <w:rFonts w:eastAsia="Times New Roman" w:cstheme="minorHAnsi"/>
          <w:lang w:eastAsia="es-CO"/>
        </w:rPr>
      </w:pPr>
      <w:r w:rsidRPr="00D93D8B">
        <w:rPr>
          <w:rFonts w:eastAsia="Times New Roman" w:cstheme="minorHAnsi"/>
          <w:b/>
          <w:lang w:eastAsia="es-CO"/>
        </w:rPr>
        <w:t>Incentivo de liberación de áreas para su restauración</w:t>
      </w:r>
      <w:r w:rsidRPr="00D93D8B">
        <w:rPr>
          <w:rFonts w:eastAsia="Times New Roman" w:cstheme="minorHAnsi"/>
          <w:lang w:eastAsia="es-CO"/>
        </w:rPr>
        <w:t xml:space="preserve">: pago a capital hasta por el 25% del crédito (sin superar el monto de 5 millones de pesos9, en pagos graduales (máximo en 3 años), previa verificación del cumplimiento de los acuerdos de conservación y de la liberación de las áreas acordadas. Por cada hectárea liberada, el beneficiario recibe un pago a capital de COP $500.000. </w:t>
      </w:r>
    </w:p>
    <w:p w:rsidR="00185563" w:rsidRDefault="00185563" w:rsidP="00185563">
      <w:pPr>
        <w:pStyle w:val="Prrafodelista"/>
        <w:numPr>
          <w:ilvl w:val="0"/>
          <w:numId w:val="5"/>
        </w:numPr>
        <w:spacing w:after="0" w:line="240" w:lineRule="auto"/>
        <w:jc w:val="both"/>
        <w:rPr>
          <w:rFonts w:eastAsia="Times New Roman" w:cstheme="minorHAnsi"/>
          <w:lang w:eastAsia="es-CO"/>
        </w:rPr>
      </w:pPr>
      <w:r w:rsidRPr="00D93D8B">
        <w:rPr>
          <w:rFonts w:eastAsia="Times New Roman" w:cstheme="minorHAnsi"/>
          <w:b/>
          <w:lang w:eastAsia="es-CO"/>
        </w:rPr>
        <w:t>FAG  Complementario</w:t>
      </w:r>
      <w:r w:rsidRPr="00D93D8B">
        <w:rPr>
          <w:rFonts w:eastAsia="Times New Roman" w:cstheme="minorHAnsi"/>
          <w:lang w:eastAsia="es-CO"/>
        </w:rPr>
        <w:t xml:space="preserve">: cuando sea necesario, hasta el 20% del valor del crédito. </w:t>
      </w:r>
    </w:p>
    <w:p w:rsidR="00185563" w:rsidRDefault="00185563" w:rsidP="00185563">
      <w:pPr>
        <w:spacing w:after="0" w:line="240" w:lineRule="auto"/>
        <w:jc w:val="both"/>
        <w:rPr>
          <w:rFonts w:eastAsia="Times New Roman" w:cstheme="minorHAnsi"/>
          <w:lang w:eastAsia="es-CO"/>
        </w:rPr>
      </w:pPr>
    </w:p>
    <w:p w:rsidR="00185563" w:rsidRPr="002553AC" w:rsidRDefault="00185563" w:rsidP="00185563">
      <w:pPr>
        <w:spacing w:after="0" w:line="240" w:lineRule="auto"/>
        <w:jc w:val="both"/>
        <w:rPr>
          <w:rFonts w:eastAsia="Times New Roman" w:cstheme="minorHAnsi"/>
          <w:i/>
          <w:u w:val="single"/>
          <w:lang w:eastAsia="es-CO"/>
        </w:rPr>
      </w:pPr>
      <w:r w:rsidRPr="002553AC">
        <w:rPr>
          <w:rFonts w:eastAsia="Times New Roman" w:cstheme="minorHAnsi"/>
          <w:i/>
          <w:u w:val="single"/>
          <w:lang w:eastAsia="es-CO"/>
        </w:rPr>
        <w:t>Condiciones de los incentivos</w:t>
      </w:r>
    </w:p>
    <w:p w:rsidR="00185563" w:rsidRPr="006753DC" w:rsidRDefault="00185563" w:rsidP="00185563">
      <w:pPr>
        <w:spacing w:after="0" w:line="240" w:lineRule="auto"/>
        <w:jc w:val="both"/>
        <w:rPr>
          <w:rFonts w:eastAsia="Times New Roman" w:cstheme="minorHAnsi"/>
          <w:b/>
          <w:i/>
          <w:u w:val="single"/>
          <w:lang w:eastAsia="es-CO"/>
        </w:rPr>
      </w:pPr>
    </w:p>
    <w:p w:rsidR="00185563" w:rsidRDefault="00185563" w:rsidP="00185563">
      <w:pPr>
        <w:pStyle w:val="Prrafodelista"/>
        <w:numPr>
          <w:ilvl w:val="0"/>
          <w:numId w:val="5"/>
        </w:numPr>
        <w:spacing w:after="0" w:line="240" w:lineRule="auto"/>
        <w:jc w:val="both"/>
        <w:rPr>
          <w:rFonts w:eastAsia="Times New Roman" w:cstheme="minorHAnsi"/>
          <w:lang w:eastAsia="es-CO"/>
        </w:rPr>
      </w:pPr>
      <w:r>
        <w:rPr>
          <w:rFonts w:eastAsia="Times New Roman" w:cstheme="minorHAnsi"/>
          <w:lang w:eastAsia="es-CO"/>
        </w:rPr>
        <w:t xml:space="preserve">El otorgamiento esta condicionado a la firma y cumplimiento de los Acuerdos de Conservación. </w:t>
      </w:r>
    </w:p>
    <w:p w:rsidR="00185563" w:rsidRDefault="00185563" w:rsidP="00185563">
      <w:pPr>
        <w:pStyle w:val="Prrafodelista"/>
        <w:numPr>
          <w:ilvl w:val="0"/>
          <w:numId w:val="5"/>
        </w:numPr>
        <w:spacing w:after="0" w:line="240" w:lineRule="auto"/>
        <w:jc w:val="both"/>
        <w:rPr>
          <w:rFonts w:eastAsia="Times New Roman" w:cstheme="minorHAnsi"/>
          <w:lang w:eastAsia="es-CO"/>
        </w:rPr>
      </w:pPr>
      <w:r>
        <w:rPr>
          <w:rFonts w:eastAsia="Times New Roman" w:cstheme="minorHAnsi"/>
          <w:lang w:eastAsia="es-CO"/>
        </w:rPr>
        <w:t xml:space="preserve">Por cada hectárea liberada por parte del productor, ya sea para restauración pasiva o establecimiento de sistemas agroforestales adaptados a la región, se pagará un monto de $500.000 a capital, hasta un máximo que corresponda al 25% del crédito. Este incentivo se </w:t>
      </w:r>
      <w:r>
        <w:rPr>
          <w:rFonts w:eastAsia="Times New Roman" w:cstheme="minorHAnsi"/>
          <w:lang w:eastAsia="es-CO"/>
        </w:rPr>
        <w:lastRenderedPageBreak/>
        <w:t xml:space="preserve">aplicará, previo monitoreo por parte del proveedor de la Asistencia Técnica y del IDEAM, en dos pagos, uno a los 13 meses del desembolso del crédito y el otro a los 25 meses. </w:t>
      </w:r>
    </w:p>
    <w:p w:rsidR="00185563" w:rsidRPr="006753DC" w:rsidRDefault="00185563" w:rsidP="00185563">
      <w:pPr>
        <w:pStyle w:val="Prrafodelista"/>
        <w:numPr>
          <w:ilvl w:val="0"/>
          <w:numId w:val="5"/>
        </w:numPr>
        <w:spacing w:after="0" w:line="240" w:lineRule="auto"/>
        <w:jc w:val="both"/>
        <w:rPr>
          <w:rFonts w:eastAsia="Times New Roman" w:cstheme="minorHAnsi"/>
          <w:lang w:eastAsia="es-CO"/>
        </w:rPr>
      </w:pPr>
      <w:r>
        <w:rPr>
          <w:rFonts w:eastAsia="Times New Roman" w:cstheme="minorHAnsi"/>
          <w:lang w:eastAsia="es-CO"/>
        </w:rPr>
        <w:t xml:space="preserve">Ampliación de la garantía hasta el 100% a través de un Fondo Complementario de Garantías financiado por un tercero, en este caso el Programa Visión Amazonia, y que permita cubrir el 20% de garantía adicional. </w:t>
      </w:r>
    </w:p>
    <w:p w:rsidR="00185563" w:rsidRDefault="00185563" w:rsidP="00185563">
      <w:pPr>
        <w:spacing w:after="0" w:line="240" w:lineRule="auto"/>
        <w:jc w:val="both"/>
        <w:rPr>
          <w:rFonts w:eastAsia="Times New Roman" w:cstheme="minorHAnsi"/>
          <w:lang w:eastAsia="es-CO"/>
        </w:rPr>
      </w:pPr>
    </w:p>
    <w:p w:rsidR="00185563" w:rsidRPr="008F2FBD" w:rsidRDefault="00185563" w:rsidP="00185563">
      <w:pPr>
        <w:spacing w:after="0" w:line="240" w:lineRule="auto"/>
        <w:jc w:val="both"/>
        <w:rPr>
          <w:rFonts w:eastAsia="Times New Roman" w:cstheme="minorHAnsi"/>
          <w:lang w:eastAsia="es-CO"/>
        </w:rPr>
      </w:pPr>
    </w:p>
    <w:p w:rsidR="00185563" w:rsidRPr="002553AC" w:rsidRDefault="00185563" w:rsidP="00185563">
      <w:pPr>
        <w:spacing w:after="0" w:line="240" w:lineRule="auto"/>
        <w:jc w:val="both"/>
        <w:rPr>
          <w:rFonts w:eastAsia="Times New Roman" w:cstheme="minorHAnsi"/>
          <w:i/>
          <w:u w:val="single"/>
          <w:lang w:eastAsia="es-CO"/>
        </w:rPr>
      </w:pPr>
      <w:r w:rsidRPr="002553AC">
        <w:rPr>
          <w:rFonts w:eastAsia="Times New Roman" w:cstheme="minorHAnsi"/>
          <w:i/>
          <w:u w:val="single"/>
          <w:lang w:eastAsia="es-CO"/>
        </w:rPr>
        <w:t xml:space="preserve">Servicios complementarios: </w:t>
      </w:r>
    </w:p>
    <w:p w:rsidR="00185563" w:rsidRPr="008F2FBD" w:rsidRDefault="00185563" w:rsidP="00185563">
      <w:pPr>
        <w:spacing w:after="0" w:line="240" w:lineRule="auto"/>
        <w:jc w:val="both"/>
        <w:rPr>
          <w:rFonts w:eastAsia="Times New Roman" w:cstheme="minorHAnsi"/>
          <w:b/>
          <w:i/>
          <w:u w:val="single"/>
          <w:lang w:eastAsia="es-CO"/>
        </w:rPr>
      </w:pPr>
    </w:p>
    <w:p w:rsidR="00185563" w:rsidRPr="008F2FBD" w:rsidRDefault="00185563" w:rsidP="00185563">
      <w:pPr>
        <w:pStyle w:val="Prrafodelista"/>
        <w:numPr>
          <w:ilvl w:val="0"/>
          <w:numId w:val="7"/>
        </w:numPr>
        <w:spacing w:after="0" w:line="240" w:lineRule="auto"/>
        <w:jc w:val="both"/>
        <w:rPr>
          <w:rFonts w:eastAsia="Times New Roman" w:cstheme="minorHAnsi"/>
          <w:lang w:eastAsia="es-CO"/>
        </w:rPr>
      </w:pPr>
      <w:r w:rsidRPr="008F2FBD">
        <w:rPr>
          <w:rFonts w:eastAsia="Times New Roman" w:cstheme="minorHAnsi"/>
          <w:lang w:eastAsia="es-CO"/>
        </w:rPr>
        <w:t xml:space="preserve">Planificación predial participativa. </w:t>
      </w:r>
    </w:p>
    <w:p w:rsidR="00185563" w:rsidRPr="008F2FBD" w:rsidRDefault="00185563" w:rsidP="00185563">
      <w:pPr>
        <w:pStyle w:val="Prrafodelista"/>
        <w:numPr>
          <w:ilvl w:val="0"/>
          <w:numId w:val="7"/>
        </w:numPr>
        <w:spacing w:after="0" w:line="240" w:lineRule="auto"/>
        <w:jc w:val="both"/>
        <w:rPr>
          <w:rFonts w:eastAsia="Times New Roman" w:cstheme="minorHAnsi"/>
          <w:lang w:eastAsia="es-CO"/>
        </w:rPr>
      </w:pPr>
      <w:r w:rsidRPr="008F2FBD">
        <w:rPr>
          <w:rFonts w:eastAsia="Times New Roman" w:cstheme="minorHAnsi"/>
          <w:lang w:eastAsia="es-CO"/>
        </w:rPr>
        <w:t>Acompañamiento técnico en eficiencia productiva.</w:t>
      </w:r>
    </w:p>
    <w:p w:rsidR="00185563" w:rsidRPr="008F2FBD" w:rsidRDefault="00185563" w:rsidP="00185563">
      <w:pPr>
        <w:pStyle w:val="Prrafodelista"/>
        <w:numPr>
          <w:ilvl w:val="0"/>
          <w:numId w:val="7"/>
        </w:numPr>
        <w:spacing w:after="0" w:line="240" w:lineRule="auto"/>
        <w:jc w:val="both"/>
        <w:rPr>
          <w:rFonts w:eastAsia="Times New Roman" w:cstheme="minorHAnsi"/>
          <w:lang w:eastAsia="es-CO"/>
        </w:rPr>
      </w:pPr>
      <w:r w:rsidRPr="008F2FBD">
        <w:rPr>
          <w:rFonts w:eastAsia="Times New Roman" w:cstheme="minorHAnsi"/>
          <w:lang w:eastAsia="es-CO"/>
        </w:rPr>
        <w:t xml:space="preserve">Monitoreo de acuerdos de conservación. </w:t>
      </w:r>
    </w:p>
    <w:p w:rsidR="00185563" w:rsidRPr="008F2FBD" w:rsidRDefault="00185563" w:rsidP="00185563">
      <w:pPr>
        <w:pStyle w:val="Prrafodelista"/>
        <w:numPr>
          <w:ilvl w:val="0"/>
          <w:numId w:val="7"/>
        </w:numPr>
        <w:spacing w:after="0" w:line="240" w:lineRule="auto"/>
        <w:jc w:val="both"/>
        <w:rPr>
          <w:rFonts w:eastAsia="Times New Roman" w:cstheme="minorHAnsi"/>
          <w:lang w:eastAsia="es-CO"/>
        </w:rPr>
      </w:pPr>
      <w:r w:rsidRPr="008F2FBD">
        <w:rPr>
          <w:rFonts w:eastAsia="Times New Roman" w:cstheme="minorHAnsi"/>
          <w:lang w:eastAsia="es-CO"/>
        </w:rPr>
        <w:t>Certificación para pago de incentivo.</w:t>
      </w:r>
    </w:p>
    <w:p w:rsidR="00185563" w:rsidRPr="008F2FBD" w:rsidRDefault="00185563" w:rsidP="00185563">
      <w:pPr>
        <w:pStyle w:val="Prrafodelista"/>
        <w:numPr>
          <w:ilvl w:val="0"/>
          <w:numId w:val="7"/>
        </w:numPr>
        <w:spacing w:after="0" w:line="240" w:lineRule="auto"/>
        <w:jc w:val="both"/>
        <w:rPr>
          <w:rFonts w:eastAsia="Times New Roman" w:cstheme="minorHAnsi"/>
          <w:lang w:eastAsia="es-CO"/>
        </w:rPr>
      </w:pPr>
      <w:r w:rsidRPr="008F2FBD">
        <w:rPr>
          <w:rFonts w:eastAsia="Times New Roman" w:cstheme="minorHAnsi"/>
          <w:lang w:eastAsia="es-CO"/>
        </w:rPr>
        <w:t xml:space="preserve">Creación capacidades en las asociaciones. </w:t>
      </w:r>
    </w:p>
    <w:p w:rsidR="00185563" w:rsidRPr="008F2FBD" w:rsidRDefault="00185563" w:rsidP="00185563">
      <w:pPr>
        <w:pStyle w:val="Prrafodelista"/>
        <w:numPr>
          <w:ilvl w:val="0"/>
          <w:numId w:val="7"/>
        </w:numPr>
        <w:spacing w:after="0" w:line="240" w:lineRule="auto"/>
        <w:jc w:val="both"/>
        <w:rPr>
          <w:rFonts w:eastAsia="Times New Roman" w:cstheme="minorHAnsi"/>
          <w:lang w:eastAsia="es-CO"/>
        </w:rPr>
      </w:pPr>
      <w:r w:rsidRPr="008F2FBD">
        <w:rPr>
          <w:rFonts w:eastAsia="Times New Roman" w:cstheme="minorHAnsi"/>
          <w:lang w:eastAsia="es-CO"/>
        </w:rPr>
        <w:t xml:space="preserve">Pago de un % por parte del productor. </w:t>
      </w:r>
    </w:p>
    <w:p w:rsidR="00185563" w:rsidRPr="008F2FBD" w:rsidRDefault="00185563" w:rsidP="00185563">
      <w:pPr>
        <w:spacing w:after="0" w:line="240" w:lineRule="auto"/>
        <w:jc w:val="both"/>
        <w:rPr>
          <w:rFonts w:eastAsia="Times New Roman" w:cstheme="minorHAnsi"/>
          <w:lang w:eastAsia="es-CO"/>
        </w:rPr>
      </w:pPr>
    </w:p>
    <w:p w:rsidR="00185563" w:rsidRPr="002553AC" w:rsidRDefault="00185563" w:rsidP="00185563">
      <w:pPr>
        <w:spacing w:after="0" w:line="240" w:lineRule="auto"/>
        <w:jc w:val="both"/>
        <w:rPr>
          <w:rFonts w:eastAsia="Times New Roman" w:cstheme="minorHAnsi"/>
          <w:i/>
          <w:u w:val="single"/>
          <w:lang w:eastAsia="es-CO"/>
        </w:rPr>
      </w:pPr>
      <w:r w:rsidRPr="002553AC">
        <w:rPr>
          <w:rFonts w:eastAsia="Times New Roman" w:cstheme="minorHAnsi"/>
          <w:i/>
          <w:u w:val="single"/>
          <w:lang w:eastAsia="es-CO"/>
        </w:rPr>
        <w:t xml:space="preserve">Acompañamientos al crédito: </w:t>
      </w:r>
    </w:p>
    <w:p w:rsidR="00185563" w:rsidRPr="008F2FBD" w:rsidRDefault="00185563" w:rsidP="00185563">
      <w:pPr>
        <w:spacing w:after="0" w:line="240" w:lineRule="auto"/>
        <w:jc w:val="both"/>
        <w:rPr>
          <w:rFonts w:eastAsia="Times New Roman" w:cstheme="minorHAnsi"/>
          <w:b/>
          <w:i/>
          <w:u w:val="single"/>
          <w:lang w:eastAsia="es-CO"/>
        </w:rPr>
      </w:pPr>
    </w:p>
    <w:p w:rsidR="00185563" w:rsidRPr="001C2549" w:rsidRDefault="00185563" w:rsidP="00185563">
      <w:pPr>
        <w:pStyle w:val="Prrafodelista"/>
        <w:numPr>
          <w:ilvl w:val="0"/>
          <w:numId w:val="7"/>
        </w:numPr>
        <w:spacing w:after="0" w:line="240" w:lineRule="auto"/>
        <w:jc w:val="both"/>
        <w:rPr>
          <w:rFonts w:eastAsia="Times New Roman" w:cstheme="minorHAnsi"/>
          <w:lang w:eastAsia="es-CO"/>
        </w:rPr>
      </w:pPr>
      <w:r w:rsidRPr="008F2FBD">
        <w:rPr>
          <w:rFonts w:eastAsia="Times New Roman" w:cstheme="minorHAnsi"/>
          <w:lang w:eastAsia="es-CO"/>
        </w:rPr>
        <w:t xml:space="preserve">Visita finca a finca por parte de técnicos. </w:t>
      </w:r>
    </w:p>
    <w:p w:rsidR="00185563" w:rsidRPr="008F2FBD" w:rsidRDefault="00185563" w:rsidP="00185563">
      <w:pPr>
        <w:pStyle w:val="Prrafodelista"/>
        <w:numPr>
          <w:ilvl w:val="0"/>
          <w:numId w:val="7"/>
        </w:numPr>
        <w:spacing w:after="0" w:line="240" w:lineRule="auto"/>
        <w:jc w:val="both"/>
        <w:rPr>
          <w:rFonts w:eastAsia="Times New Roman" w:cstheme="minorHAnsi"/>
          <w:lang w:eastAsia="es-CO"/>
        </w:rPr>
      </w:pPr>
      <w:r w:rsidRPr="008F2FBD">
        <w:rPr>
          <w:rFonts w:eastAsia="Times New Roman" w:cstheme="minorHAnsi"/>
          <w:lang w:eastAsia="es-CO"/>
        </w:rPr>
        <w:t>Campaña información y comunicación sobre incentivos.</w:t>
      </w:r>
    </w:p>
    <w:p w:rsidR="00185563" w:rsidRPr="008F2FBD" w:rsidRDefault="00185563" w:rsidP="00185563">
      <w:pPr>
        <w:pStyle w:val="Prrafodelista"/>
        <w:numPr>
          <w:ilvl w:val="0"/>
          <w:numId w:val="7"/>
        </w:numPr>
        <w:spacing w:after="0" w:line="240" w:lineRule="auto"/>
        <w:jc w:val="both"/>
        <w:rPr>
          <w:rFonts w:eastAsia="Times New Roman" w:cstheme="minorHAnsi"/>
          <w:lang w:eastAsia="es-CO"/>
        </w:rPr>
      </w:pPr>
      <w:r w:rsidRPr="008F2FBD">
        <w:rPr>
          <w:rFonts w:eastAsia="Times New Roman" w:cstheme="minorHAnsi"/>
          <w:lang w:eastAsia="es-CO"/>
        </w:rPr>
        <w:t xml:space="preserve">Identificación de condiciones habilitantes o barreras de los usuarios potenciales. </w:t>
      </w:r>
    </w:p>
    <w:p w:rsidR="00185563" w:rsidRPr="008F2FBD" w:rsidRDefault="00185563" w:rsidP="00185563">
      <w:pPr>
        <w:pStyle w:val="Prrafodelista"/>
        <w:numPr>
          <w:ilvl w:val="0"/>
          <w:numId w:val="7"/>
        </w:numPr>
        <w:spacing w:after="0" w:line="240" w:lineRule="auto"/>
        <w:jc w:val="both"/>
        <w:rPr>
          <w:rFonts w:eastAsia="Times New Roman" w:cstheme="minorHAnsi"/>
          <w:lang w:eastAsia="es-CO"/>
        </w:rPr>
      </w:pPr>
      <w:r w:rsidRPr="008F2FBD">
        <w:rPr>
          <w:rFonts w:eastAsia="Times New Roman" w:cstheme="minorHAnsi"/>
          <w:lang w:eastAsia="es-CO"/>
        </w:rPr>
        <w:t>Acompañamiento al productor y a las asociaciones para cumplimiento de requisitos del banco.</w:t>
      </w:r>
    </w:p>
    <w:p w:rsidR="00185563" w:rsidRPr="008F2FBD" w:rsidRDefault="00185563" w:rsidP="00185563">
      <w:pPr>
        <w:pStyle w:val="Prrafodelista"/>
        <w:numPr>
          <w:ilvl w:val="0"/>
          <w:numId w:val="7"/>
        </w:numPr>
        <w:spacing w:after="0" w:line="240" w:lineRule="auto"/>
        <w:jc w:val="both"/>
        <w:rPr>
          <w:rFonts w:eastAsia="Times New Roman" w:cstheme="minorHAnsi"/>
          <w:lang w:eastAsia="es-CO"/>
        </w:rPr>
      </w:pPr>
      <w:r w:rsidRPr="008F2FBD">
        <w:rPr>
          <w:rFonts w:eastAsia="Times New Roman" w:cstheme="minorHAnsi"/>
          <w:lang w:eastAsia="es-CO"/>
        </w:rPr>
        <w:t xml:space="preserve">Acompañamiento en pago del crédito. </w:t>
      </w:r>
    </w:p>
    <w:p w:rsidR="00185563" w:rsidRPr="008F2FBD" w:rsidRDefault="00185563" w:rsidP="00185563">
      <w:pPr>
        <w:spacing w:after="0" w:line="240" w:lineRule="auto"/>
        <w:jc w:val="both"/>
        <w:rPr>
          <w:rFonts w:eastAsia="Times New Roman" w:cstheme="minorHAnsi"/>
          <w:lang w:eastAsia="es-CO"/>
        </w:rPr>
      </w:pPr>
    </w:p>
    <w:p w:rsidR="00185563" w:rsidRPr="002553AC" w:rsidRDefault="00185563" w:rsidP="00185563">
      <w:pPr>
        <w:spacing w:after="0" w:line="240" w:lineRule="auto"/>
        <w:jc w:val="both"/>
        <w:rPr>
          <w:rFonts w:eastAsia="Times New Roman" w:cstheme="minorHAnsi"/>
          <w:i/>
          <w:u w:val="single"/>
          <w:lang w:eastAsia="es-CO"/>
        </w:rPr>
      </w:pPr>
      <w:r w:rsidRPr="002553AC">
        <w:rPr>
          <w:rFonts w:eastAsia="Times New Roman" w:cstheme="minorHAnsi"/>
          <w:i/>
          <w:u w:val="single"/>
          <w:lang w:eastAsia="es-CO"/>
        </w:rPr>
        <w:t>Integración a cadenas de valor:</w:t>
      </w:r>
    </w:p>
    <w:p w:rsidR="00185563" w:rsidRPr="008F2FBD" w:rsidRDefault="00185563" w:rsidP="00185563">
      <w:pPr>
        <w:spacing w:after="0" w:line="240" w:lineRule="auto"/>
        <w:jc w:val="both"/>
        <w:rPr>
          <w:rFonts w:eastAsia="Times New Roman" w:cstheme="minorHAnsi"/>
          <w:b/>
          <w:i/>
          <w:u w:val="single"/>
          <w:lang w:eastAsia="es-CO"/>
        </w:rPr>
      </w:pPr>
    </w:p>
    <w:p w:rsidR="00185563" w:rsidRPr="008F2FBD" w:rsidRDefault="00185563" w:rsidP="00185563">
      <w:pPr>
        <w:pStyle w:val="Prrafodelista"/>
        <w:numPr>
          <w:ilvl w:val="0"/>
          <w:numId w:val="7"/>
        </w:numPr>
        <w:spacing w:after="0" w:line="240" w:lineRule="auto"/>
        <w:jc w:val="both"/>
        <w:rPr>
          <w:rFonts w:eastAsia="Times New Roman" w:cstheme="minorHAnsi"/>
          <w:lang w:eastAsia="es-CO"/>
        </w:rPr>
      </w:pPr>
      <w:r w:rsidRPr="008F2FBD">
        <w:rPr>
          <w:rFonts w:eastAsia="Times New Roman" w:cstheme="minorHAnsi"/>
          <w:lang w:eastAsia="es-CO"/>
        </w:rPr>
        <w:t>Gestión con industria comprometida con desempeño ambiental y productivo.</w:t>
      </w:r>
    </w:p>
    <w:p w:rsidR="00185563" w:rsidRPr="008F2FBD" w:rsidRDefault="00185563" w:rsidP="00185563">
      <w:pPr>
        <w:pStyle w:val="Prrafodelista"/>
        <w:numPr>
          <w:ilvl w:val="0"/>
          <w:numId w:val="7"/>
        </w:numPr>
        <w:spacing w:after="0" w:line="240" w:lineRule="auto"/>
        <w:jc w:val="both"/>
        <w:rPr>
          <w:rFonts w:eastAsia="Times New Roman" w:cstheme="minorHAnsi"/>
          <w:lang w:eastAsia="es-CO"/>
        </w:rPr>
      </w:pPr>
      <w:r w:rsidRPr="008F2FBD">
        <w:rPr>
          <w:rFonts w:eastAsia="Times New Roman" w:cstheme="minorHAnsi"/>
          <w:lang w:eastAsia="es-CO"/>
        </w:rPr>
        <w:t>Mejoras en condiciones de mercado.</w:t>
      </w:r>
    </w:p>
    <w:p w:rsidR="00185563" w:rsidRDefault="00185563" w:rsidP="00185563">
      <w:pPr>
        <w:pStyle w:val="Prrafodelista"/>
        <w:numPr>
          <w:ilvl w:val="0"/>
          <w:numId w:val="7"/>
        </w:numPr>
        <w:spacing w:after="0" w:line="240" w:lineRule="auto"/>
        <w:jc w:val="both"/>
        <w:rPr>
          <w:rFonts w:eastAsia="Times New Roman" w:cstheme="minorHAnsi"/>
          <w:lang w:eastAsia="es-CO"/>
        </w:rPr>
      </w:pPr>
      <w:r w:rsidRPr="008F2FBD">
        <w:rPr>
          <w:rFonts w:eastAsia="Times New Roman" w:cstheme="minorHAnsi"/>
          <w:lang w:eastAsia="es-CO"/>
        </w:rPr>
        <w:t xml:space="preserve">Garantía de pago de crédito. </w:t>
      </w:r>
    </w:p>
    <w:p w:rsidR="00185563" w:rsidRPr="007F302B" w:rsidRDefault="00185563" w:rsidP="00185563">
      <w:pPr>
        <w:spacing w:after="0" w:line="240" w:lineRule="auto"/>
        <w:jc w:val="both"/>
        <w:rPr>
          <w:rFonts w:eastAsia="Times New Roman" w:cstheme="minorHAnsi"/>
          <w:lang w:eastAsia="es-CO"/>
        </w:rPr>
      </w:pPr>
    </w:p>
    <w:p w:rsidR="00185563" w:rsidRPr="002553AC" w:rsidRDefault="00185563" w:rsidP="00185563">
      <w:pPr>
        <w:spacing w:after="0" w:line="240" w:lineRule="auto"/>
        <w:jc w:val="both"/>
        <w:rPr>
          <w:rFonts w:eastAsia="Times New Roman" w:cstheme="minorHAnsi"/>
          <w:lang w:eastAsia="es-CO"/>
        </w:rPr>
      </w:pPr>
    </w:p>
    <w:p w:rsidR="00185563" w:rsidRPr="008F2FBD" w:rsidRDefault="00185563" w:rsidP="00185563">
      <w:pPr>
        <w:spacing w:after="0" w:line="240" w:lineRule="auto"/>
        <w:jc w:val="both"/>
        <w:rPr>
          <w:rFonts w:eastAsia="Times New Roman" w:cstheme="minorHAnsi"/>
          <w:lang w:eastAsia="es-CO"/>
        </w:rPr>
      </w:pPr>
      <w:r w:rsidRPr="002553AC">
        <w:rPr>
          <w:rFonts w:eastAsia="Times New Roman" w:cstheme="minorHAnsi"/>
          <w:i/>
          <w:u w:val="single"/>
          <w:lang w:eastAsia="es-CO"/>
        </w:rPr>
        <w:t>Costos estimados para el productor</w:t>
      </w:r>
      <w:r w:rsidRPr="008F2FBD">
        <w:rPr>
          <w:rFonts w:eastAsia="Times New Roman" w:cstheme="minorHAnsi"/>
          <w:b/>
          <w:lang w:eastAsia="es-CO"/>
        </w:rPr>
        <w:t>:</w:t>
      </w:r>
      <w:r w:rsidRPr="008F2FBD">
        <w:rPr>
          <w:rFonts w:eastAsia="Times New Roman" w:cstheme="minorHAnsi"/>
          <w:lang w:eastAsia="es-CO"/>
        </w:rPr>
        <w:t xml:space="preserve"> $24.421.064 (con el programa)</w:t>
      </w:r>
    </w:p>
    <w:p w:rsidR="00185563" w:rsidRPr="008F2FBD" w:rsidRDefault="00185563" w:rsidP="00185563">
      <w:pPr>
        <w:spacing w:after="0" w:line="240" w:lineRule="auto"/>
        <w:jc w:val="both"/>
        <w:rPr>
          <w:rFonts w:eastAsia="Times New Roman" w:cstheme="minorHAnsi"/>
          <w:lang w:eastAsia="es-CO"/>
        </w:rPr>
      </w:pPr>
    </w:p>
    <w:p w:rsidR="00185563" w:rsidRPr="002553AC" w:rsidRDefault="00185563" w:rsidP="00185563">
      <w:pPr>
        <w:spacing w:after="0" w:line="240" w:lineRule="auto"/>
        <w:jc w:val="both"/>
        <w:rPr>
          <w:rFonts w:eastAsia="Times New Roman" w:cstheme="minorHAnsi"/>
          <w:i/>
          <w:u w:val="single"/>
          <w:lang w:eastAsia="es-CO"/>
        </w:rPr>
      </w:pPr>
      <w:r w:rsidRPr="002553AC">
        <w:rPr>
          <w:rFonts w:eastAsia="Times New Roman" w:cstheme="minorHAnsi"/>
          <w:i/>
          <w:u w:val="single"/>
          <w:lang w:eastAsia="es-CO"/>
        </w:rPr>
        <w:t xml:space="preserve">Costos estimados totales del piloto: </w:t>
      </w:r>
    </w:p>
    <w:p w:rsidR="00185563" w:rsidRPr="008F2FBD" w:rsidRDefault="00185563" w:rsidP="00185563">
      <w:pPr>
        <w:spacing w:after="0" w:line="240" w:lineRule="auto"/>
        <w:jc w:val="both"/>
        <w:rPr>
          <w:rFonts w:eastAsia="Times New Roman" w:cstheme="minorHAnsi"/>
          <w:b/>
          <w:i/>
          <w:u w:val="single"/>
          <w:lang w:eastAsia="es-CO"/>
        </w:rPr>
      </w:pPr>
    </w:p>
    <w:p w:rsidR="00185563" w:rsidRPr="008F2FBD" w:rsidRDefault="00185563" w:rsidP="00185563">
      <w:pPr>
        <w:pStyle w:val="Prrafodelista"/>
        <w:numPr>
          <w:ilvl w:val="0"/>
          <w:numId w:val="7"/>
        </w:numPr>
        <w:spacing w:after="0" w:line="240" w:lineRule="auto"/>
        <w:jc w:val="both"/>
        <w:rPr>
          <w:rFonts w:eastAsia="Times New Roman" w:cstheme="minorHAnsi"/>
          <w:lang w:eastAsia="es-CO"/>
        </w:rPr>
      </w:pPr>
      <w:r w:rsidRPr="008F2FBD">
        <w:rPr>
          <w:rFonts w:eastAsia="Times New Roman" w:cstheme="minorHAnsi"/>
          <w:lang w:eastAsia="es-CO"/>
        </w:rPr>
        <w:t xml:space="preserve">Subsidio a la tasa: $305,2 millones. </w:t>
      </w:r>
    </w:p>
    <w:p w:rsidR="00185563" w:rsidRPr="008F2FBD" w:rsidRDefault="00185563" w:rsidP="00185563">
      <w:pPr>
        <w:pStyle w:val="Prrafodelista"/>
        <w:numPr>
          <w:ilvl w:val="0"/>
          <w:numId w:val="7"/>
        </w:numPr>
        <w:spacing w:after="0" w:line="240" w:lineRule="auto"/>
        <w:jc w:val="both"/>
        <w:rPr>
          <w:rFonts w:eastAsia="Times New Roman" w:cstheme="minorHAnsi"/>
          <w:lang w:eastAsia="es-CO"/>
        </w:rPr>
      </w:pPr>
      <w:r w:rsidRPr="008F2FBD">
        <w:rPr>
          <w:rFonts w:eastAsia="Times New Roman" w:cstheme="minorHAnsi"/>
          <w:lang w:eastAsia="es-CO"/>
        </w:rPr>
        <w:t>Incentivo por liberación: $500 millones.</w:t>
      </w:r>
    </w:p>
    <w:p w:rsidR="00185563" w:rsidRPr="008F2FBD" w:rsidRDefault="00185563" w:rsidP="00185563">
      <w:pPr>
        <w:pStyle w:val="Prrafodelista"/>
        <w:numPr>
          <w:ilvl w:val="0"/>
          <w:numId w:val="7"/>
        </w:numPr>
        <w:spacing w:after="0" w:line="240" w:lineRule="auto"/>
        <w:jc w:val="both"/>
        <w:rPr>
          <w:rFonts w:eastAsia="Times New Roman" w:cstheme="minorHAnsi"/>
          <w:lang w:eastAsia="es-CO"/>
        </w:rPr>
      </w:pPr>
      <w:r w:rsidRPr="008F2FBD">
        <w:rPr>
          <w:rFonts w:eastAsia="Times New Roman" w:cstheme="minorHAnsi"/>
          <w:lang w:eastAsia="es-CO"/>
        </w:rPr>
        <w:t xml:space="preserve">Incentivo FAG complementario: $400 millones. </w:t>
      </w:r>
    </w:p>
    <w:p w:rsidR="00185563" w:rsidRDefault="00185563" w:rsidP="00185563">
      <w:pPr>
        <w:pStyle w:val="Prrafodelista"/>
        <w:numPr>
          <w:ilvl w:val="0"/>
          <w:numId w:val="7"/>
        </w:numPr>
        <w:spacing w:after="0" w:line="240" w:lineRule="auto"/>
        <w:jc w:val="both"/>
        <w:rPr>
          <w:rFonts w:eastAsia="Times New Roman" w:cstheme="minorHAnsi"/>
          <w:lang w:eastAsia="es-CO"/>
        </w:rPr>
      </w:pPr>
      <w:r w:rsidRPr="008F2FBD">
        <w:rPr>
          <w:rFonts w:eastAsia="Times New Roman" w:cstheme="minorHAnsi"/>
          <w:lang w:eastAsia="es-CO"/>
        </w:rPr>
        <w:t xml:space="preserve">En total se requieren $1.205 millones para acordar con el Banco Agrario la operación del proyecto piloto. </w:t>
      </w:r>
    </w:p>
    <w:p w:rsidR="00185563" w:rsidRPr="00185563" w:rsidRDefault="00185563" w:rsidP="00185563">
      <w:pPr>
        <w:spacing w:after="0" w:line="240" w:lineRule="auto"/>
        <w:jc w:val="both"/>
        <w:rPr>
          <w:rFonts w:eastAsia="Times New Roman" w:cstheme="minorHAnsi"/>
          <w:lang w:eastAsia="es-CO"/>
        </w:rPr>
      </w:pPr>
    </w:p>
    <w:p w:rsidR="00185563" w:rsidRPr="007E72CA" w:rsidRDefault="00185563" w:rsidP="00066D32">
      <w:pPr>
        <w:pStyle w:val="Ttulo2"/>
      </w:pPr>
      <w:r w:rsidRPr="007E72CA">
        <w:t>Certificados de carbono</w:t>
      </w:r>
    </w:p>
    <w:p w:rsidR="004726F7" w:rsidRPr="00FC28B7" w:rsidRDefault="004726F7" w:rsidP="004726F7">
      <w:pPr>
        <w:jc w:val="both"/>
        <w:rPr>
          <w:noProof/>
          <w:lang w:val="es-ES"/>
        </w:rPr>
      </w:pPr>
      <w:r w:rsidRPr="00FC28B7">
        <w:rPr>
          <w:noProof/>
          <w:lang w:val="es-ES"/>
        </w:rPr>
        <w:t xml:space="preserve">Con informacion divulgada por Asocarbono, se calcula que se necesitarian 55 millones de certificados para cubrir la neutralizacion del impuesto nacional al carbono. Sin embargo, el total de certificados que se piensan vender solo llegan a los 9 millones debido a la falta de proyectos. </w:t>
      </w:r>
    </w:p>
    <w:p w:rsidR="004726F7" w:rsidRDefault="004726F7" w:rsidP="004726F7">
      <w:pPr>
        <w:jc w:val="both"/>
        <w:rPr>
          <w:noProof/>
          <w:lang w:val="es-ES"/>
        </w:rPr>
      </w:pPr>
      <w:r w:rsidRPr="00FC28B7">
        <w:rPr>
          <w:noProof/>
          <w:lang w:val="es-ES"/>
        </w:rPr>
        <w:lastRenderedPageBreak/>
        <w:t xml:space="preserve">Se espera que para el año 2019, mas de 100 proyectos puedan estar en operación de los cuales un 33% estarian en el sector forestal, 24% en residuos, 22% en proyectos de energia, 14% en industria y 6% en transporte. </w:t>
      </w:r>
    </w:p>
    <w:p w:rsidR="004726F7" w:rsidRDefault="004726F7" w:rsidP="004726F7">
      <w:pPr>
        <w:jc w:val="both"/>
        <w:rPr>
          <w:noProof/>
          <w:lang w:val="es-ES"/>
        </w:rPr>
      </w:pPr>
      <w:r>
        <w:rPr>
          <w:noProof/>
          <w:lang w:val="es-ES"/>
        </w:rPr>
        <w:t xml:space="preserve">Para obtener el financiamiento en la region, es necesario resaltar que la gran mayoria de proyectos con certificaciones no se encuentran en los nucleos de deforestacion (Caqueta, Guaviare y Meta) donde se encuentra la ganaderia extensiva, los cultivos ilicitos, la especulacion y acaparamiento de la tierra y la mineria ilegal. Esto se dee principalmente al riesgo que percibe el inversionista como consecuencia de actores criminales y actividades ilicitas. Entre las principales caracteristicas que los inversionistas buscan al momento de invertir en los certificados estan que (i) existan proyectos adelantandose, (ii) lugares donde las comunidades estan organizadas, (iii) que no haya tantas amenazas alrededor, y (iv) con menores costos de transaccion. </w:t>
      </w:r>
    </w:p>
    <w:p w:rsidR="004726F7" w:rsidRDefault="004726F7" w:rsidP="004726F7">
      <w:pPr>
        <w:jc w:val="both"/>
        <w:rPr>
          <w:noProof/>
          <w:lang w:val="es-ES"/>
        </w:rPr>
      </w:pPr>
      <w:r>
        <w:rPr>
          <w:noProof/>
          <w:lang w:val="es-ES"/>
        </w:rPr>
        <w:t xml:space="preserve">Es importante que en el Caqueta, asi como en los otros departamentos mencionados, la comunidad, entre ella las victimas de la guerra, comiencen a hacer autogestion y autogobierno para atraer este tipo de inversiones. </w:t>
      </w:r>
    </w:p>
    <w:p w:rsidR="004726F7" w:rsidRDefault="004726F7" w:rsidP="004726F7">
      <w:pPr>
        <w:jc w:val="both"/>
        <w:rPr>
          <w:noProof/>
          <w:lang w:val="es-ES"/>
        </w:rPr>
      </w:pPr>
      <w:r w:rsidRPr="00FB412B">
        <w:rPr>
          <w:noProof/>
          <w:lang w:val="es-ES"/>
        </w:rPr>
        <w:t xml:space="preserve">Teniendo en cuenta los precios de certificados incluidos </w:t>
      </w:r>
      <w:r>
        <w:rPr>
          <w:noProof/>
          <w:lang w:val="es-ES"/>
        </w:rPr>
        <w:t>en la entrevista realizada por Jose Luis Ordoñez Jimenez para el MVC Colombia</w:t>
      </w:r>
      <w:r w:rsidRPr="00FB412B">
        <w:rPr>
          <w:noProof/>
          <w:lang w:val="es-ES"/>
        </w:rPr>
        <w:t>, el promedio de precio por certificado de carbono esta alrededor de los $ 11.000 pesos.</w:t>
      </w:r>
    </w:p>
    <w:p w:rsidR="004726F7" w:rsidRDefault="004726F7" w:rsidP="004726F7">
      <w:pPr>
        <w:jc w:val="both"/>
        <w:rPr>
          <w:noProof/>
          <w:lang w:val="es-ES"/>
        </w:rPr>
      </w:pPr>
      <w:r>
        <w:rPr>
          <w:noProof/>
          <w:lang w:val="es-ES"/>
        </w:rPr>
        <w:t xml:space="preserve">De acuerdo con Callo-Concha et al. (2000), quienes realizaron un estudio en la amazonia peruana, donde se evaluaron los volumenes de carbono secuestradro por seis sistemas agroforestales y/o sistemas de uso de la tierra: bosque primario, bosque secundario, café+sombra, silvopastura, pastura y huerto casero, en tres variantes ecologicas: selva alta, media y baja; fragmentando el muestreo en biomasa arborea, biomasa herbacea, hojarasca y cuatro estratos de suelo. </w:t>
      </w:r>
    </w:p>
    <w:p w:rsidR="004726F7" w:rsidRDefault="004726F7" w:rsidP="004726F7">
      <w:pPr>
        <w:jc w:val="both"/>
        <w:rPr>
          <w:noProof/>
          <w:lang w:val="es-ES"/>
        </w:rPr>
      </w:pPr>
      <w:r>
        <w:rPr>
          <w:noProof/>
          <w:lang w:val="es-ES"/>
        </w:rPr>
        <w:t xml:space="preserve">Si se supone que estos tratamientos podrian implementarse en el Caqueta, junto con los resultados del estudio citado anteriormente se podria tener un estimado de la financiacion que se lograria a traves de este incentivo, lo que se muestra a continuacion: </w:t>
      </w:r>
    </w:p>
    <w:p w:rsidR="004726F7" w:rsidRPr="00FB412B" w:rsidRDefault="004726F7" w:rsidP="004726F7">
      <w:pPr>
        <w:jc w:val="both"/>
        <w:rPr>
          <w:noProof/>
          <w:lang w:val="es-ES"/>
        </w:rPr>
      </w:pPr>
    </w:p>
    <w:tbl>
      <w:tblPr>
        <w:tblStyle w:val="Tablaconcuadrcula"/>
        <w:tblW w:w="9221" w:type="dxa"/>
        <w:tblLook w:val="04A0" w:firstRow="1" w:lastRow="0" w:firstColumn="1" w:lastColumn="0" w:noHBand="0" w:noVBand="1"/>
      </w:tblPr>
      <w:tblGrid>
        <w:gridCol w:w="1600"/>
        <w:gridCol w:w="3073"/>
        <w:gridCol w:w="717"/>
        <w:gridCol w:w="1202"/>
        <w:gridCol w:w="1262"/>
        <w:gridCol w:w="1443"/>
      </w:tblGrid>
      <w:tr w:rsidR="004726F7" w:rsidRPr="0064777E" w:rsidTr="000033BD">
        <w:trPr>
          <w:trHeight w:val="300"/>
        </w:trPr>
        <w:tc>
          <w:tcPr>
            <w:tcW w:w="1600" w:type="dxa"/>
            <w:shd w:val="clear" w:color="auto" w:fill="D5DCE4" w:themeFill="text2" w:themeFillTint="33"/>
            <w:noWrap/>
            <w:vAlign w:val="center"/>
            <w:hideMark/>
          </w:tcPr>
          <w:p w:rsidR="004726F7" w:rsidRPr="0064777E" w:rsidRDefault="004726F7" w:rsidP="000033BD">
            <w:pPr>
              <w:jc w:val="center"/>
              <w:rPr>
                <w:rFonts w:ascii="Calibri" w:eastAsia="Times New Roman" w:hAnsi="Calibri" w:cs="Calibri"/>
                <w:b/>
                <w:bCs/>
                <w:color w:val="000000"/>
                <w:sz w:val="20"/>
                <w:szCs w:val="20"/>
                <w:lang w:eastAsia="es-CO"/>
              </w:rPr>
            </w:pPr>
            <w:r>
              <w:rPr>
                <w:rFonts w:ascii="Calibri" w:eastAsia="Times New Roman" w:hAnsi="Calibri" w:cs="Calibri"/>
                <w:b/>
                <w:bCs/>
                <w:color w:val="000000"/>
                <w:sz w:val="20"/>
                <w:szCs w:val="20"/>
                <w:lang w:eastAsia="es-CO"/>
              </w:rPr>
              <w:t>Tratamiento</w:t>
            </w:r>
          </w:p>
        </w:tc>
        <w:tc>
          <w:tcPr>
            <w:tcW w:w="3073" w:type="dxa"/>
            <w:shd w:val="clear" w:color="auto" w:fill="D5DCE4" w:themeFill="text2" w:themeFillTint="33"/>
            <w:noWrap/>
            <w:vAlign w:val="center"/>
            <w:hideMark/>
          </w:tcPr>
          <w:p w:rsidR="004726F7" w:rsidRPr="0064777E" w:rsidRDefault="004726F7" w:rsidP="000033BD">
            <w:pPr>
              <w:jc w:val="center"/>
              <w:rPr>
                <w:rFonts w:ascii="Calibri" w:eastAsia="Times New Roman" w:hAnsi="Calibri" w:cs="Calibri"/>
                <w:b/>
                <w:bCs/>
                <w:color w:val="000000"/>
                <w:sz w:val="20"/>
                <w:szCs w:val="20"/>
                <w:lang w:eastAsia="es-CO"/>
              </w:rPr>
            </w:pPr>
            <w:r>
              <w:rPr>
                <w:rFonts w:ascii="Calibri" w:eastAsia="Times New Roman" w:hAnsi="Calibri" w:cs="Calibri"/>
                <w:b/>
                <w:bCs/>
                <w:color w:val="000000"/>
                <w:sz w:val="20"/>
                <w:szCs w:val="20"/>
                <w:lang w:eastAsia="es-CO"/>
              </w:rPr>
              <w:t>Características</w:t>
            </w:r>
          </w:p>
        </w:tc>
        <w:tc>
          <w:tcPr>
            <w:tcW w:w="641" w:type="dxa"/>
            <w:shd w:val="clear" w:color="auto" w:fill="D5DCE4" w:themeFill="text2" w:themeFillTint="33"/>
            <w:vAlign w:val="center"/>
          </w:tcPr>
          <w:p w:rsidR="004726F7" w:rsidRPr="0064777E" w:rsidRDefault="004726F7" w:rsidP="000033BD">
            <w:pPr>
              <w:jc w:val="center"/>
              <w:rPr>
                <w:rFonts w:ascii="Calibri" w:eastAsia="Times New Roman" w:hAnsi="Calibri" w:cs="Calibri"/>
                <w:b/>
                <w:bCs/>
                <w:color w:val="000000"/>
                <w:sz w:val="20"/>
                <w:szCs w:val="20"/>
                <w:lang w:eastAsia="es-CO"/>
              </w:rPr>
            </w:pPr>
            <w:r>
              <w:rPr>
                <w:rFonts w:ascii="Calibri" w:eastAsia="Times New Roman" w:hAnsi="Calibri" w:cs="Calibri"/>
                <w:b/>
                <w:bCs/>
                <w:color w:val="000000"/>
                <w:sz w:val="20"/>
                <w:szCs w:val="20"/>
                <w:lang w:eastAsia="es-CO"/>
              </w:rPr>
              <w:t>Ton / ha</w:t>
            </w:r>
          </w:p>
        </w:tc>
        <w:tc>
          <w:tcPr>
            <w:tcW w:w="1202" w:type="dxa"/>
            <w:shd w:val="clear" w:color="auto" w:fill="D5DCE4" w:themeFill="text2" w:themeFillTint="33"/>
            <w:noWrap/>
            <w:vAlign w:val="center"/>
            <w:hideMark/>
          </w:tcPr>
          <w:p w:rsidR="004726F7" w:rsidRPr="0064777E" w:rsidRDefault="004726F7" w:rsidP="000033BD">
            <w:pPr>
              <w:jc w:val="center"/>
              <w:rPr>
                <w:rFonts w:ascii="Calibri" w:eastAsia="Times New Roman" w:hAnsi="Calibri" w:cs="Calibri"/>
                <w:b/>
                <w:bCs/>
                <w:color w:val="000000"/>
                <w:sz w:val="20"/>
                <w:szCs w:val="20"/>
                <w:lang w:eastAsia="es-CO"/>
              </w:rPr>
            </w:pPr>
            <w:r w:rsidRPr="0064777E">
              <w:rPr>
                <w:rFonts w:ascii="Calibri" w:eastAsia="Times New Roman" w:hAnsi="Calibri" w:cs="Calibri"/>
                <w:b/>
                <w:bCs/>
                <w:color w:val="000000"/>
                <w:sz w:val="20"/>
                <w:szCs w:val="20"/>
                <w:lang w:eastAsia="es-CO"/>
              </w:rPr>
              <w:t>Certificados de Carbono</w:t>
            </w:r>
          </w:p>
        </w:tc>
        <w:tc>
          <w:tcPr>
            <w:tcW w:w="1262" w:type="dxa"/>
            <w:shd w:val="clear" w:color="auto" w:fill="D5DCE4" w:themeFill="text2" w:themeFillTint="33"/>
            <w:noWrap/>
            <w:vAlign w:val="center"/>
            <w:hideMark/>
          </w:tcPr>
          <w:p w:rsidR="004726F7" w:rsidRPr="0064777E" w:rsidRDefault="004726F7" w:rsidP="000033BD">
            <w:pPr>
              <w:jc w:val="center"/>
              <w:rPr>
                <w:rFonts w:ascii="Calibri" w:eastAsia="Times New Roman" w:hAnsi="Calibri" w:cs="Calibri"/>
                <w:b/>
                <w:bCs/>
                <w:color w:val="000000"/>
                <w:sz w:val="20"/>
                <w:szCs w:val="20"/>
                <w:lang w:eastAsia="es-CO"/>
              </w:rPr>
            </w:pPr>
            <w:r>
              <w:rPr>
                <w:rFonts w:ascii="Calibri" w:eastAsia="Times New Roman" w:hAnsi="Calibri" w:cs="Calibri"/>
                <w:b/>
                <w:bCs/>
                <w:color w:val="000000"/>
                <w:sz w:val="20"/>
                <w:szCs w:val="20"/>
                <w:lang w:eastAsia="es-CO"/>
              </w:rPr>
              <w:t>Valor Total CC ($/ha)</w:t>
            </w:r>
          </w:p>
        </w:tc>
        <w:tc>
          <w:tcPr>
            <w:tcW w:w="1443" w:type="dxa"/>
            <w:shd w:val="clear" w:color="auto" w:fill="D5DCE4" w:themeFill="text2" w:themeFillTint="33"/>
            <w:noWrap/>
            <w:hideMark/>
          </w:tcPr>
          <w:p w:rsidR="004726F7" w:rsidRPr="0064777E" w:rsidRDefault="004726F7" w:rsidP="000033BD">
            <w:pPr>
              <w:jc w:val="center"/>
              <w:rPr>
                <w:rFonts w:ascii="Calibri" w:eastAsia="Times New Roman" w:hAnsi="Calibri" w:cs="Calibri"/>
                <w:b/>
                <w:bCs/>
                <w:color w:val="000000"/>
                <w:sz w:val="20"/>
                <w:szCs w:val="20"/>
                <w:lang w:eastAsia="es-CO"/>
              </w:rPr>
            </w:pPr>
            <w:r w:rsidRPr="0064777E">
              <w:rPr>
                <w:rFonts w:ascii="Calibri" w:eastAsia="Times New Roman" w:hAnsi="Calibri" w:cs="Calibri"/>
                <w:b/>
                <w:bCs/>
                <w:color w:val="000000"/>
                <w:sz w:val="20"/>
                <w:szCs w:val="20"/>
                <w:lang w:eastAsia="es-CO"/>
              </w:rPr>
              <w:t>Valor Total</w:t>
            </w:r>
            <w:r>
              <w:rPr>
                <w:rFonts w:ascii="Calibri" w:eastAsia="Times New Roman" w:hAnsi="Calibri" w:cs="Calibri"/>
                <w:b/>
                <w:bCs/>
                <w:color w:val="000000"/>
                <w:sz w:val="20"/>
                <w:szCs w:val="20"/>
                <w:lang w:eastAsia="es-CO"/>
              </w:rPr>
              <w:t xml:space="preserve"> ($/plantación 10 has)</w:t>
            </w:r>
          </w:p>
        </w:tc>
      </w:tr>
      <w:tr w:rsidR="004726F7" w:rsidRPr="0064777E" w:rsidTr="000033BD">
        <w:trPr>
          <w:trHeight w:val="480"/>
        </w:trPr>
        <w:tc>
          <w:tcPr>
            <w:tcW w:w="1600" w:type="dxa"/>
            <w:noWrap/>
            <w:hideMark/>
          </w:tcPr>
          <w:p w:rsidR="004726F7" w:rsidRPr="0064777E" w:rsidRDefault="004726F7" w:rsidP="000033BD">
            <w:pPr>
              <w:jc w:val="center"/>
              <w:rPr>
                <w:rFonts w:ascii="Calibri" w:eastAsia="Times New Roman" w:hAnsi="Calibri" w:cs="Calibri"/>
                <w:color w:val="000000"/>
                <w:lang w:eastAsia="es-CO"/>
              </w:rPr>
            </w:pPr>
            <w:r>
              <w:rPr>
                <w:rFonts w:ascii="Calibri" w:eastAsia="Times New Roman" w:hAnsi="Calibri" w:cs="Calibri"/>
                <w:color w:val="000000"/>
                <w:lang w:eastAsia="es-CO"/>
              </w:rPr>
              <w:t>Bosque Primario</w:t>
            </w:r>
          </w:p>
        </w:tc>
        <w:tc>
          <w:tcPr>
            <w:tcW w:w="3073" w:type="dxa"/>
            <w:noWrap/>
            <w:hideMark/>
          </w:tcPr>
          <w:p w:rsidR="004726F7" w:rsidRPr="000F6010" w:rsidRDefault="004726F7" w:rsidP="000033BD">
            <w:pPr>
              <w:jc w:val="center"/>
              <w:rPr>
                <w:rFonts w:ascii="Calibri" w:eastAsia="Times New Roman" w:hAnsi="Calibri" w:cs="Calibri"/>
                <w:i/>
                <w:color w:val="000000"/>
                <w:lang w:eastAsia="es-CO"/>
              </w:rPr>
            </w:pPr>
            <w:r w:rsidRPr="000F6010">
              <w:rPr>
                <w:rFonts w:ascii="Calibri" w:eastAsia="Times New Roman" w:hAnsi="Calibri" w:cs="Calibri"/>
                <w:i/>
                <w:color w:val="000000"/>
                <w:lang w:eastAsia="es-CO"/>
              </w:rPr>
              <w:t>Ecosistema clímax</w:t>
            </w:r>
          </w:p>
        </w:tc>
        <w:tc>
          <w:tcPr>
            <w:tcW w:w="641" w:type="dxa"/>
            <w:vAlign w:val="center"/>
          </w:tcPr>
          <w:p w:rsidR="004726F7" w:rsidRPr="0064777E" w:rsidRDefault="004726F7" w:rsidP="000033BD">
            <w:pPr>
              <w:jc w:val="center"/>
              <w:rPr>
                <w:rFonts w:ascii="Calibri" w:eastAsia="Times New Roman" w:hAnsi="Calibri" w:cs="Calibri"/>
                <w:color w:val="000000"/>
                <w:lang w:eastAsia="es-CO"/>
              </w:rPr>
            </w:pPr>
            <w:r>
              <w:rPr>
                <w:rFonts w:ascii="Calibri" w:eastAsia="Times New Roman" w:hAnsi="Calibri" w:cs="Calibri"/>
                <w:color w:val="000000"/>
                <w:lang w:eastAsia="es-CO"/>
              </w:rPr>
              <w:t>465,8</w:t>
            </w:r>
          </w:p>
        </w:tc>
        <w:tc>
          <w:tcPr>
            <w:tcW w:w="1202" w:type="dxa"/>
            <w:noWrap/>
            <w:vAlign w:val="center"/>
            <w:hideMark/>
          </w:tcPr>
          <w:p w:rsidR="004726F7" w:rsidRPr="0064777E" w:rsidRDefault="004726F7" w:rsidP="000033BD">
            <w:pPr>
              <w:jc w:val="center"/>
              <w:rPr>
                <w:rFonts w:ascii="Calibri" w:eastAsia="Times New Roman" w:hAnsi="Calibri" w:cs="Calibri"/>
                <w:color w:val="000000"/>
                <w:lang w:eastAsia="es-CO"/>
              </w:rPr>
            </w:pPr>
            <w:r>
              <w:rPr>
                <w:rFonts w:ascii="Calibri" w:eastAsia="Times New Roman" w:hAnsi="Calibri" w:cs="Calibri"/>
                <w:color w:val="000000"/>
                <w:lang w:eastAsia="es-CO"/>
              </w:rPr>
              <w:t>465,8</w:t>
            </w:r>
          </w:p>
        </w:tc>
        <w:tc>
          <w:tcPr>
            <w:tcW w:w="1262" w:type="dxa"/>
            <w:noWrap/>
            <w:vAlign w:val="center"/>
            <w:hideMark/>
          </w:tcPr>
          <w:p w:rsidR="004726F7" w:rsidRPr="0064777E" w:rsidRDefault="004726F7" w:rsidP="000033BD">
            <w:pPr>
              <w:jc w:val="center"/>
              <w:rPr>
                <w:rFonts w:ascii="Calibri" w:eastAsia="Times New Roman" w:hAnsi="Calibri" w:cs="Calibri"/>
                <w:color w:val="000000"/>
                <w:lang w:eastAsia="es-CO"/>
              </w:rPr>
            </w:pPr>
            <w:r>
              <w:rPr>
                <w:rFonts w:ascii="Calibri" w:eastAsia="Times New Roman" w:hAnsi="Calibri" w:cs="Calibri"/>
                <w:color w:val="000000"/>
                <w:lang w:eastAsia="es-CO"/>
              </w:rPr>
              <w:t>$5.123.800</w:t>
            </w:r>
          </w:p>
        </w:tc>
        <w:tc>
          <w:tcPr>
            <w:tcW w:w="1443" w:type="dxa"/>
            <w:noWrap/>
            <w:vAlign w:val="center"/>
            <w:hideMark/>
          </w:tcPr>
          <w:p w:rsidR="004726F7" w:rsidRPr="0064777E" w:rsidRDefault="004726F7" w:rsidP="000033BD">
            <w:pPr>
              <w:jc w:val="center"/>
              <w:rPr>
                <w:rFonts w:ascii="Calibri" w:eastAsia="Times New Roman" w:hAnsi="Calibri" w:cs="Calibri"/>
                <w:color w:val="000000"/>
                <w:lang w:eastAsia="es-CO"/>
              </w:rPr>
            </w:pPr>
            <w:r>
              <w:rPr>
                <w:rFonts w:ascii="Calibri" w:eastAsia="Times New Roman" w:hAnsi="Calibri" w:cs="Calibri"/>
                <w:color w:val="000000"/>
                <w:lang w:eastAsia="es-CO"/>
              </w:rPr>
              <w:t>$51.238.000</w:t>
            </w:r>
          </w:p>
        </w:tc>
      </w:tr>
      <w:tr w:rsidR="004726F7" w:rsidRPr="0064777E" w:rsidTr="000033BD">
        <w:trPr>
          <w:trHeight w:val="480"/>
        </w:trPr>
        <w:tc>
          <w:tcPr>
            <w:tcW w:w="1600" w:type="dxa"/>
            <w:noWrap/>
            <w:hideMark/>
          </w:tcPr>
          <w:p w:rsidR="004726F7" w:rsidRPr="0064777E" w:rsidRDefault="004726F7" w:rsidP="000033BD">
            <w:pPr>
              <w:jc w:val="center"/>
              <w:rPr>
                <w:rFonts w:ascii="Calibri" w:eastAsia="Times New Roman" w:hAnsi="Calibri" w:cs="Calibri"/>
                <w:color w:val="000000"/>
                <w:lang w:eastAsia="es-CO"/>
              </w:rPr>
            </w:pPr>
            <w:r>
              <w:rPr>
                <w:rFonts w:ascii="Calibri" w:eastAsia="Times New Roman" w:hAnsi="Calibri" w:cs="Calibri"/>
                <w:color w:val="000000"/>
                <w:lang w:eastAsia="es-CO"/>
              </w:rPr>
              <w:t>Bosque Secundario</w:t>
            </w:r>
          </w:p>
        </w:tc>
        <w:tc>
          <w:tcPr>
            <w:tcW w:w="3073" w:type="dxa"/>
            <w:noWrap/>
            <w:hideMark/>
          </w:tcPr>
          <w:p w:rsidR="004726F7" w:rsidRPr="000F6010" w:rsidRDefault="004726F7" w:rsidP="000033BD">
            <w:pPr>
              <w:jc w:val="center"/>
              <w:rPr>
                <w:rFonts w:ascii="Calibri" w:eastAsia="Times New Roman" w:hAnsi="Calibri" w:cs="Calibri"/>
                <w:i/>
                <w:color w:val="000000"/>
                <w:lang w:eastAsia="es-CO"/>
              </w:rPr>
            </w:pPr>
            <w:r w:rsidRPr="000F6010">
              <w:rPr>
                <w:rFonts w:ascii="Calibri" w:eastAsia="Times New Roman" w:hAnsi="Calibri" w:cs="Calibri"/>
                <w:i/>
                <w:color w:val="000000"/>
                <w:lang w:eastAsia="es-CO"/>
              </w:rPr>
              <w:t>En regeneración, de ocho años en promedio</w:t>
            </w:r>
          </w:p>
        </w:tc>
        <w:tc>
          <w:tcPr>
            <w:tcW w:w="641" w:type="dxa"/>
            <w:vAlign w:val="center"/>
          </w:tcPr>
          <w:p w:rsidR="004726F7" w:rsidRPr="0064777E" w:rsidRDefault="004726F7" w:rsidP="000033BD">
            <w:pPr>
              <w:jc w:val="center"/>
              <w:rPr>
                <w:rFonts w:ascii="Calibri" w:eastAsia="Times New Roman" w:hAnsi="Calibri" w:cs="Calibri"/>
                <w:color w:val="000000"/>
                <w:lang w:eastAsia="es-CO"/>
              </w:rPr>
            </w:pPr>
            <w:r>
              <w:rPr>
                <w:rFonts w:ascii="Calibri" w:eastAsia="Times New Roman" w:hAnsi="Calibri" w:cs="Calibri"/>
                <w:color w:val="000000"/>
                <w:lang w:eastAsia="es-CO"/>
              </w:rPr>
              <w:t>181,0</w:t>
            </w:r>
          </w:p>
        </w:tc>
        <w:tc>
          <w:tcPr>
            <w:tcW w:w="1202" w:type="dxa"/>
            <w:noWrap/>
            <w:vAlign w:val="center"/>
            <w:hideMark/>
          </w:tcPr>
          <w:p w:rsidR="004726F7" w:rsidRPr="0064777E" w:rsidRDefault="004726F7" w:rsidP="000033BD">
            <w:pPr>
              <w:jc w:val="center"/>
              <w:rPr>
                <w:rFonts w:ascii="Calibri" w:eastAsia="Times New Roman" w:hAnsi="Calibri" w:cs="Calibri"/>
                <w:color w:val="000000"/>
                <w:lang w:eastAsia="es-CO"/>
              </w:rPr>
            </w:pPr>
            <w:r>
              <w:rPr>
                <w:rFonts w:ascii="Calibri" w:eastAsia="Times New Roman" w:hAnsi="Calibri" w:cs="Calibri"/>
                <w:color w:val="000000"/>
                <w:lang w:eastAsia="es-CO"/>
              </w:rPr>
              <w:t>181,0</w:t>
            </w:r>
          </w:p>
        </w:tc>
        <w:tc>
          <w:tcPr>
            <w:tcW w:w="1262" w:type="dxa"/>
            <w:noWrap/>
            <w:vAlign w:val="center"/>
            <w:hideMark/>
          </w:tcPr>
          <w:p w:rsidR="004726F7" w:rsidRPr="0064777E" w:rsidRDefault="004726F7" w:rsidP="000033BD">
            <w:pPr>
              <w:jc w:val="center"/>
              <w:rPr>
                <w:rFonts w:ascii="Calibri" w:eastAsia="Times New Roman" w:hAnsi="Calibri" w:cs="Calibri"/>
                <w:color w:val="000000"/>
                <w:lang w:eastAsia="es-CO"/>
              </w:rPr>
            </w:pPr>
            <w:r>
              <w:rPr>
                <w:rFonts w:ascii="Calibri" w:eastAsia="Times New Roman" w:hAnsi="Calibri" w:cs="Calibri"/>
                <w:color w:val="000000"/>
                <w:lang w:eastAsia="es-CO"/>
              </w:rPr>
              <w:t>$1.991.000</w:t>
            </w:r>
          </w:p>
        </w:tc>
        <w:tc>
          <w:tcPr>
            <w:tcW w:w="1443" w:type="dxa"/>
            <w:noWrap/>
            <w:vAlign w:val="center"/>
            <w:hideMark/>
          </w:tcPr>
          <w:p w:rsidR="004726F7" w:rsidRPr="0064777E" w:rsidRDefault="004726F7" w:rsidP="000033BD">
            <w:pPr>
              <w:jc w:val="center"/>
              <w:rPr>
                <w:rFonts w:ascii="Calibri" w:eastAsia="Times New Roman" w:hAnsi="Calibri" w:cs="Calibri"/>
                <w:color w:val="000000"/>
                <w:lang w:eastAsia="es-CO"/>
              </w:rPr>
            </w:pPr>
            <w:r>
              <w:rPr>
                <w:rFonts w:ascii="Calibri" w:eastAsia="Times New Roman" w:hAnsi="Calibri" w:cs="Calibri"/>
                <w:color w:val="000000"/>
                <w:lang w:eastAsia="es-CO"/>
              </w:rPr>
              <w:t>$19.910.000</w:t>
            </w:r>
          </w:p>
        </w:tc>
      </w:tr>
      <w:tr w:rsidR="004726F7" w:rsidRPr="0064777E" w:rsidTr="000033BD">
        <w:trPr>
          <w:trHeight w:val="300"/>
        </w:trPr>
        <w:tc>
          <w:tcPr>
            <w:tcW w:w="1600" w:type="dxa"/>
            <w:noWrap/>
            <w:hideMark/>
          </w:tcPr>
          <w:p w:rsidR="004726F7" w:rsidRPr="0064777E" w:rsidRDefault="004726F7" w:rsidP="000033BD">
            <w:pPr>
              <w:jc w:val="center"/>
              <w:rPr>
                <w:rFonts w:ascii="Calibri" w:eastAsia="Times New Roman" w:hAnsi="Calibri" w:cs="Calibri"/>
                <w:color w:val="000000"/>
                <w:lang w:eastAsia="es-CO"/>
              </w:rPr>
            </w:pPr>
            <w:r>
              <w:rPr>
                <w:rFonts w:ascii="Calibri" w:eastAsia="Times New Roman" w:hAnsi="Calibri" w:cs="Calibri"/>
                <w:color w:val="000000"/>
                <w:lang w:eastAsia="es-CO"/>
              </w:rPr>
              <w:t>Café +Sombra</w:t>
            </w:r>
          </w:p>
        </w:tc>
        <w:tc>
          <w:tcPr>
            <w:tcW w:w="3073" w:type="dxa"/>
            <w:noWrap/>
            <w:hideMark/>
          </w:tcPr>
          <w:p w:rsidR="004726F7" w:rsidRPr="000F6010" w:rsidRDefault="004726F7" w:rsidP="000033BD">
            <w:pPr>
              <w:jc w:val="center"/>
              <w:rPr>
                <w:rFonts w:ascii="Calibri" w:eastAsia="Times New Roman" w:hAnsi="Calibri" w:cs="Calibri"/>
                <w:i/>
                <w:color w:val="000000"/>
                <w:lang w:eastAsia="es-CO"/>
              </w:rPr>
            </w:pPr>
            <w:r w:rsidRPr="000F6010">
              <w:rPr>
                <w:rFonts w:ascii="Calibri" w:eastAsia="Times New Roman" w:hAnsi="Calibri" w:cs="Calibri"/>
                <w:i/>
                <w:color w:val="000000"/>
                <w:lang w:eastAsia="es-CO"/>
              </w:rPr>
              <w:t>Componente comercial café y sombra otra especie de mayor fuste</w:t>
            </w:r>
          </w:p>
        </w:tc>
        <w:tc>
          <w:tcPr>
            <w:tcW w:w="641" w:type="dxa"/>
            <w:vAlign w:val="center"/>
          </w:tcPr>
          <w:p w:rsidR="004726F7" w:rsidRPr="0064777E" w:rsidRDefault="004726F7" w:rsidP="000033BD">
            <w:pPr>
              <w:jc w:val="center"/>
              <w:rPr>
                <w:rFonts w:ascii="Calibri" w:eastAsia="Times New Roman" w:hAnsi="Calibri" w:cs="Calibri"/>
                <w:color w:val="000000"/>
                <w:lang w:eastAsia="es-CO"/>
              </w:rPr>
            </w:pPr>
            <w:r>
              <w:rPr>
                <w:rFonts w:ascii="Calibri" w:eastAsia="Times New Roman" w:hAnsi="Calibri" w:cs="Calibri"/>
                <w:color w:val="000000"/>
                <w:lang w:eastAsia="es-CO"/>
              </w:rPr>
              <w:t>193,7</w:t>
            </w:r>
          </w:p>
        </w:tc>
        <w:tc>
          <w:tcPr>
            <w:tcW w:w="1202" w:type="dxa"/>
            <w:noWrap/>
            <w:vAlign w:val="center"/>
            <w:hideMark/>
          </w:tcPr>
          <w:p w:rsidR="004726F7" w:rsidRPr="0064777E" w:rsidRDefault="004726F7" w:rsidP="000033BD">
            <w:pPr>
              <w:jc w:val="center"/>
              <w:rPr>
                <w:rFonts w:ascii="Calibri" w:eastAsia="Times New Roman" w:hAnsi="Calibri" w:cs="Calibri"/>
                <w:color w:val="000000"/>
                <w:lang w:eastAsia="es-CO"/>
              </w:rPr>
            </w:pPr>
            <w:r>
              <w:rPr>
                <w:rFonts w:ascii="Calibri" w:eastAsia="Times New Roman" w:hAnsi="Calibri" w:cs="Calibri"/>
                <w:color w:val="000000"/>
                <w:lang w:eastAsia="es-CO"/>
              </w:rPr>
              <w:t>193,7</w:t>
            </w:r>
          </w:p>
        </w:tc>
        <w:tc>
          <w:tcPr>
            <w:tcW w:w="1262" w:type="dxa"/>
            <w:noWrap/>
            <w:vAlign w:val="center"/>
            <w:hideMark/>
          </w:tcPr>
          <w:p w:rsidR="004726F7" w:rsidRPr="0064777E" w:rsidRDefault="004726F7" w:rsidP="000033BD">
            <w:pPr>
              <w:jc w:val="center"/>
              <w:rPr>
                <w:rFonts w:ascii="Calibri" w:eastAsia="Times New Roman" w:hAnsi="Calibri" w:cs="Calibri"/>
                <w:color w:val="000000"/>
                <w:lang w:eastAsia="es-CO"/>
              </w:rPr>
            </w:pPr>
            <w:r>
              <w:rPr>
                <w:rFonts w:ascii="Calibri" w:eastAsia="Times New Roman" w:hAnsi="Calibri" w:cs="Calibri"/>
                <w:color w:val="000000"/>
                <w:lang w:eastAsia="es-CO"/>
              </w:rPr>
              <w:t>$2.130.000</w:t>
            </w:r>
          </w:p>
        </w:tc>
        <w:tc>
          <w:tcPr>
            <w:tcW w:w="1443" w:type="dxa"/>
            <w:noWrap/>
            <w:vAlign w:val="center"/>
            <w:hideMark/>
          </w:tcPr>
          <w:p w:rsidR="004726F7" w:rsidRPr="0064777E" w:rsidRDefault="004726F7" w:rsidP="000033BD">
            <w:pPr>
              <w:jc w:val="center"/>
              <w:rPr>
                <w:rFonts w:ascii="Calibri" w:eastAsia="Times New Roman" w:hAnsi="Calibri" w:cs="Calibri"/>
                <w:color w:val="000000"/>
                <w:lang w:eastAsia="es-CO"/>
              </w:rPr>
            </w:pPr>
            <w:r>
              <w:rPr>
                <w:rFonts w:ascii="Calibri" w:eastAsia="Times New Roman" w:hAnsi="Calibri" w:cs="Calibri"/>
                <w:color w:val="000000"/>
                <w:lang w:eastAsia="es-CO"/>
              </w:rPr>
              <w:t>$21.300.000</w:t>
            </w:r>
          </w:p>
        </w:tc>
      </w:tr>
      <w:tr w:rsidR="004726F7" w:rsidRPr="0064777E" w:rsidTr="000033BD">
        <w:trPr>
          <w:trHeight w:val="480"/>
        </w:trPr>
        <w:tc>
          <w:tcPr>
            <w:tcW w:w="1600" w:type="dxa"/>
            <w:noWrap/>
            <w:hideMark/>
          </w:tcPr>
          <w:p w:rsidR="004726F7" w:rsidRPr="0064777E" w:rsidRDefault="004726F7" w:rsidP="000033BD">
            <w:pPr>
              <w:jc w:val="center"/>
              <w:rPr>
                <w:rFonts w:ascii="Calibri" w:eastAsia="Times New Roman" w:hAnsi="Calibri" w:cs="Calibri"/>
                <w:color w:val="000000"/>
                <w:lang w:eastAsia="es-CO"/>
              </w:rPr>
            </w:pPr>
            <w:r>
              <w:rPr>
                <w:rFonts w:ascii="Calibri" w:eastAsia="Times New Roman" w:hAnsi="Calibri" w:cs="Calibri"/>
                <w:color w:val="000000"/>
                <w:lang w:eastAsia="es-CO"/>
              </w:rPr>
              <w:t>Silvopastoril</w:t>
            </w:r>
          </w:p>
        </w:tc>
        <w:tc>
          <w:tcPr>
            <w:tcW w:w="3073" w:type="dxa"/>
            <w:noWrap/>
            <w:hideMark/>
          </w:tcPr>
          <w:p w:rsidR="004726F7" w:rsidRPr="000F6010" w:rsidRDefault="004726F7" w:rsidP="000033BD">
            <w:pPr>
              <w:jc w:val="center"/>
              <w:rPr>
                <w:rFonts w:ascii="Calibri" w:eastAsia="Times New Roman" w:hAnsi="Calibri" w:cs="Calibri"/>
                <w:i/>
                <w:color w:val="000000"/>
                <w:lang w:eastAsia="es-CO"/>
              </w:rPr>
            </w:pPr>
            <w:r w:rsidRPr="000F6010">
              <w:rPr>
                <w:rFonts w:ascii="Calibri" w:eastAsia="Times New Roman" w:hAnsi="Calibri" w:cs="Calibri"/>
                <w:i/>
                <w:color w:val="000000"/>
                <w:lang w:eastAsia="es-CO"/>
              </w:rPr>
              <w:t>Arboles dispersos en zonas de pastoreo</w:t>
            </w:r>
          </w:p>
        </w:tc>
        <w:tc>
          <w:tcPr>
            <w:tcW w:w="641" w:type="dxa"/>
            <w:vAlign w:val="center"/>
          </w:tcPr>
          <w:p w:rsidR="004726F7" w:rsidRPr="0064777E" w:rsidRDefault="004726F7" w:rsidP="000033BD">
            <w:pPr>
              <w:jc w:val="center"/>
              <w:rPr>
                <w:rFonts w:ascii="Calibri" w:eastAsia="Times New Roman" w:hAnsi="Calibri" w:cs="Calibri"/>
                <w:color w:val="000000"/>
                <w:lang w:eastAsia="es-CO"/>
              </w:rPr>
            </w:pPr>
            <w:r>
              <w:rPr>
                <w:rFonts w:ascii="Calibri" w:eastAsia="Times New Roman" w:hAnsi="Calibri" w:cs="Calibri"/>
                <w:color w:val="000000"/>
                <w:lang w:eastAsia="es-CO"/>
              </w:rPr>
              <w:t>119,8</w:t>
            </w:r>
          </w:p>
        </w:tc>
        <w:tc>
          <w:tcPr>
            <w:tcW w:w="1202" w:type="dxa"/>
            <w:noWrap/>
            <w:vAlign w:val="center"/>
            <w:hideMark/>
          </w:tcPr>
          <w:p w:rsidR="004726F7" w:rsidRPr="0064777E" w:rsidRDefault="004726F7" w:rsidP="000033BD">
            <w:pPr>
              <w:jc w:val="center"/>
              <w:rPr>
                <w:rFonts w:ascii="Calibri" w:eastAsia="Times New Roman" w:hAnsi="Calibri" w:cs="Calibri"/>
                <w:color w:val="000000"/>
                <w:lang w:eastAsia="es-CO"/>
              </w:rPr>
            </w:pPr>
            <w:r>
              <w:rPr>
                <w:rFonts w:ascii="Calibri" w:eastAsia="Times New Roman" w:hAnsi="Calibri" w:cs="Calibri"/>
                <w:color w:val="000000"/>
                <w:lang w:eastAsia="es-CO"/>
              </w:rPr>
              <w:t>119,8</w:t>
            </w:r>
          </w:p>
        </w:tc>
        <w:tc>
          <w:tcPr>
            <w:tcW w:w="1262" w:type="dxa"/>
            <w:noWrap/>
            <w:vAlign w:val="center"/>
            <w:hideMark/>
          </w:tcPr>
          <w:p w:rsidR="004726F7" w:rsidRPr="0064777E" w:rsidRDefault="004726F7" w:rsidP="000033BD">
            <w:pPr>
              <w:jc w:val="center"/>
              <w:rPr>
                <w:rFonts w:ascii="Calibri" w:eastAsia="Times New Roman" w:hAnsi="Calibri" w:cs="Calibri"/>
                <w:color w:val="000000"/>
                <w:lang w:eastAsia="es-CO"/>
              </w:rPr>
            </w:pPr>
            <w:r>
              <w:rPr>
                <w:rFonts w:ascii="Calibri" w:eastAsia="Times New Roman" w:hAnsi="Calibri" w:cs="Calibri"/>
                <w:color w:val="000000"/>
                <w:lang w:eastAsia="es-CO"/>
              </w:rPr>
              <w:t>$1.317.800</w:t>
            </w:r>
          </w:p>
        </w:tc>
        <w:tc>
          <w:tcPr>
            <w:tcW w:w="1443" w:type="dxa"/>
            <w:noWrap/>
            <w:vAlign w:val="center"/>
            <w:hideMark/>
          </w:tcPr>
          <w:p w:rsidR="004726F7" w:rsidRPr="0064777E" w:rsidRDefault="004726F7" w:rsidP="000033BD">
            <w:pPr>
              <w:jc w:val="center"/>
              <w:rPr>
                <w:rFonts w:ascii="Calibri" w:eastAsia="Times New Roman" w:hAnsi="Calibri" w:cs="Calibri"/>
                <w:color w:val="000000"/>
                <w:lang w:eastAsia="es-CO"/>
              </w:rPr>
            </w:pPr>
            <w:r>
              <w:rPr>
                <w:rFonts w:ascii="Calibri" w:eastAsia="Times New Roman" w:hAnsi="Calibri" w:cs="Calibri"/>
                <w:color w:val="000000"/>
                <w:lang w:eastAsia="es-CO"/>
              </w:rPr>
              <w:t>$13.178.000</w:t>
            </w:r>
          </w:p>
        </w:tc>
      </w:tr>
      <w:tr w:rsidR="004726F7" w:rsidRPr="0064777E" w:rsidTr="000033BD">
        <w:trPr>
          <w:trHeight w:val="480"/>
        </w:trPr>
        <w:tc>
          <w:tcPr>
            <w:tcW w:w="1600" w:type="dxa"/>
            <w:noWrap/>
            <w:hideMark/>
          </w:tcPr>
          <w:p w:rsidR="004726F7" w:rsidRPr="0064777E" w:rsidRDefault="004726F7" w:rsidP="000033BD">
            <w:pPr>
              <w:jc w:val="center"/>
              <w:rPr>
                <w:rFonts w:ascii="Calibri" w:eastAsia="Times New Roman" w:hAnsi="Calibri" w:cs="Calibri"/>
                <w:color w:val="000000"/>
                <w:lang w:eastAsia="es-CO"/>
              </w:rPr>
            </w:pPr>
            <w:r>
              <w:rPr>
                <w:rFonts w:ascii="Calibri" w:eastAsia="Times New Roman" w:hAnsi="Calibri" w:cs="Calibri"/>
                <w:color w:val="000000"/>
                <w:lang w:eastAsia="es-CO"/>
              </w:rPr>
              <w:t>Pastura</w:t>
            </w:r>
          </w:p>
        </w:tc>
        <w:tc>
          <w:tcPr>
            <w:tcW w:w="3073" w:type="dxa"/>
            <w:noWrap/>
            <w:hideMark/>
          </w:tcPr>
          <w:p w:rsidR="004726F7" w:rsidRPr="000F6010" w:rsidRDefault="004726F7" w:rsidP="000033BD">
            <w:pPr>
              <w:jc w:val="center"/>
              <w:rPr>
                <w:rFonts w:ascii="Calibri" w:eastAsia="Times New Roman" w:hAnsi="Calibri" w:cs="Calibri"/>
                <w:i/>
                <w:color w:val="000000"/>
                <w:lang w:eastAsia="es-CO"/>
              </w:rPr>
            </w:pPr>
            <w:r w:rsidRPr="000F6010">
              <w:rPr>
                <w:rFonts w:ascii="Calibri" w:eastAsia="Times New Roman" w:hAnsi="Calibri" w:cs="Calibri"/>
                <w:i/>
                <w:color w:val="000000"/>
                <w:lang w:eastAsia="es-CO"/>
              </w:rPr>
              <w:t>Consolida la última fase de cambio de uso de los barbechos</w:t>
            </w:r>
          </w:p>
        </w:tc>
        <w:tc>
          <w:tcPr>
            <w:tcW w:w="641" w:type="dxa"/>
            <w:vAlign w:val="center"/>
          </w:tcPr>
          <w:p w:rsidR="004726F7" w:rsidRPr="0064777E" w:rsidRDefault="004726F7" w:rsidP="000033BD">
            <w:pPr>
              <w:jc w:val="center"/>
              <w:rPr>
                <w:rFonts w:ascii="Calibri" w:eastAsia="Times New Roman" w:hAnsi="Calibri" w:cs="Calibri"/>
                <w:color w:val="000000"/>
                <w:lang w:eastAsia="es-CO"/>
              </w:rPr>
            </w:pPr>
            <w:r>
              <w:rPr>
                <w:rFonts w:ascii="Calibri" w:eastAsia="Times New Roman" w:hAnsi="Calibri" w:cs="Calibri"/>
                <w:color w:val="000000"/>
                <w:lang w:eastAsia="es-CO"/>
              </w:rPr>
              <w:t>97,3</w:t>
            </w:r>
          </w:p>
        </w:tc>
        <w:tc>
          <w:tcPr>
            <w:tcW w:w="1202" w:type="dxa"/>
            <w:noWrap/>
            <w:vAlign w:val="center"/>
            <w:hideMark/>
          </w:tcPr>
          <w:p w:rsidR="004726F7" w:rsidRPr="0064777E" w:rsidRDefault="004726F7" w:rsidP="000033BD">
            <w:pPr>
              <w:jc w:val="center"/>
              <w:rPr>
                <w:rFonts w:ascii="Calibri" w:eastAsia="Times New Roman" w:hAnsi="Calibri" w:cs="Calibri"/>
                <w:color w:val="000000"/>
                <w:lang w:eastAsia="es-CO"/>
              </w:rPr>
            </w:pPr>
            <w:r>
              <w:rPr>
                <w:rFonts w:ascii="Calibri" w:eastAsia="Times New Roman" w:hAnsi="Calibri" w:cs="Calibri"/>
                <w:color w:val="000000"/>
                <w:lang w:eastAsia="es-CO"/>
              </w:rPr>
              <w:t>97,3</w:t>
            </w:r>
          </w:p>
        </w:tc>
        <w:tc>
          <w:tcPr>
            <w:tcW w:w="1262" w:type="dxa"/>
            <w:noWrap/>
            <w:vAlign w:val="center"/>
            <w:hideMark/>
          </w:tcPr>
          <w:p w:rsidR="004726F7" w:rsidRPr="0064777E" w:rsidRDefault="004726F7" w:rsidP="000033BD">
            <w:pPr>
              <w:jc w:val="center"/>
              <w:rPr>
                <w:rFonts w:ascii="Calibri" w:eastAsia="Times New Roman" w:hAnsi="Calibri" w:cs="Calibri"/>
                <w:color w:val="000000"/>
                <w:lang w:eastAsia="es-CO"/>
              </w:rPr>
            </w:pPr>
            <w:r>
              <w:rPr>
                <w:rFonts w:ascii="Calibri" w:eastAsia="Times New Roman" w:hAnsi="Calibri" w:cs="Calibri"/>
                <w:color w:val="000000"/>
                <w:lang w:eastAsia="es-CO"/>
              </w:rPr>
              <w:t>$1.070.300</w:t>
            </w:r>
          </w:p>
        </w:tc>
        <w:tc>
          <w:tcPr>
            <w:tcW w:w="1443" w:type="dxa"/>
            <w:noWrap/>
            <w:vAlign w:val="center"/>
            <w:hideMark/>
          </w:tcPr>
          <w:p w:rsidR="004726F7" w:rsidRPr="0064777E" w:rsidRDefault="004726F7" w:rsidP="000033BD">
            <w:pPr>
              <w:jc w:val="center"/>
              <w:rPr>
                <w:rFonts w:ascii="Calibri" w:eastAsia="Times New Roman" w:hAnsi="Calibri" w:cs="Calibri"/>
                <w:color w:val="000000"/>
                <w:lang w:eastAsia="es-CO"/>
              </w:rPr>
            </w:pPr>
            <w:r>
              <w:rPr>
                <w:rFonts w:ascii="Calibri" w:eastAsia="Times New Roman" w:hAnsi="Calibri" w:cs="Calibri"/>
                <w:color w:val="000000"/>
                <w:lang w:eastAsia="es-CO"/>
              </w:rPr>
              <w:t>$10.703.000</w:t>
            </w:r>
          </w:p>
        </w:tc>
      </w:tr>
      <w:tr w:rsidR="004726F7" w:rsidRPr="0064777E" w:rsidTr="000033BD">
        <w:trPr>
          <w:trHeight w:val="300"/>
        </w:trPr>
        <w:tc>
          <w:tcPr>
            <w:tcW w:w="1600" w:type="dxa"/>
            <w:noWrap/>
            <w:hideMark/>
          </w:tcPr>
          <w:p w:rsidR="004726F7" w:rsidRPr="0064777E" w:rsidRDefault="004726F7" w:rsidP="000033BD">
            <w:pPr>
              <w:jc w:val="center"/>
              <w:rPr>
                <w:rFonts w:ascii="Calibri" w:eastAsia="Times New Roman" w:hAnsi="Calibri" w:cs="Calibri"/>
                <w:color w:val="000000"/>
                <w:lang w:eastAsia="es-CO"/>
              </w:rPr>
            </w:pPr>
            <w:r>
              <w:rPr>
                <w:rFonts w:ascii="Calibri" w:eastAsia="Times New Roman" w:hAnsi="Calibri" w:cs="Calibri"/>
                <w:color w:val="000000"/>
                <w:lang w:eastAsia="es-CO"/>
              </w:rPr>
              <w:t>Huerto Casero</w:t>
            </w:r>
          </w:p>
        </w:tc>
        <w:tc>
          <w:tcPr>
            <w:tcW w:w="3073" w:type="dxa"/>
            <w:noWrap/>
            <w:hideMark/>
          </w:tcPr>
          <w:p w:rsidR="004726F7" w:rsidRPr="000F6010" w:rsidRDefault="004726F7" w:rsidP="000033BD">
            <w:pPr>
              <w:jc w:val="center"/>
              <w:rPr>
                <w:rFonts w:ascii="Calibri" w:eastAsia="Times New Roman" w:hAnsi="Calibri" w:cs="Calibri"/>
                <w:i/>
                <w:color w:val="000000"/>
                <w:lang w:eastAsia="es-CO"/>
              </w:rPr>
            </w:pPr>
            <w:r w:rsidRPr="000F6010">
              <w:rPr>
                <w:rFonts w:ascii="Calibri" w:eastAsia="Times New Roman" w:hAnsi="Calibri" w:cs="Calibri"/>
                <w:i/>
                <w:color w:val="000000"/>
                <w:lang w:eastAsia="es-CO"/>
              </w:rPr>
              <w:t>Definido en función de las necesidades familiares</w:t>
            </w:r>
          </w:p>
        </w:tc>
        <w:tc>
          <w:tcPr>
            <w:tcW w:w="641" w:type="dxa"/>
            <w:vAlign w:val="center"/>
          </w:tcPr>
          <w:p w:rsidR="004726F7" w:rsidRPr="0064777E" w:rsidRDefault="004726F7" w:rsidP="000033BD">
            <w:pPr>
              <w:jc w:val="center"/>
              <w:rPr>
                <w:rFonts w:ascii="Calibri" w:eastAsia="Times New Roman" w:hAnsi="Calibri" w:cs="Calibri"/>
                <w:color w:val="000000"/>
                <w:lang w:eastAsia="es-CO"/>
              </w:rPr>
            </w:pPr>
            <w:r>
              <w:rPr>
                <w:rFonts w:ascii="Calibri" w:eastAsia="Times New Roman" w:hAnsi="Calibri" w:cs="Calibri"/>
                <w:color w:val="000000"/>
                <w:lang w:eastAsia="es-CO"/>
              </w:rPr>
              <w:t>195,7</w:t>
            </w:r>
          </w:p>
        </w:tc>
        <w:tc>
          <w:tcPr>
            <w:tcW w:w="1202" w:type="dxa"/>
            <w:noWrap/>
            <w:vAlign w:val="center"/>
            <w:hideMark/>
          </w:tcPr>
          <w:p w:rsidR="004726F7" w:rsidRPr="0064777E" w:rsidRDefault="004726F7" w:rsidP="000033BD">
            <w:pPr>
              <w:jc w:val="center"/>
              <w:rPr>
                <w:rFonts w:ascii="Calibri" w:eastAsia="Times New Roman" w:hAnsi="Calibri" w:cs="Calibri"/>
                <w:color w:val="000000"/>
                <w:lang w:eastAsia="es-CO"/>
              </w:rPr>
            </w:pPr>
            <w:r>
              <w:rPr>
                <w:rFonts w:ascii="Calibri" w:eastAsia="Times New Roman" w:hAnsi="Calibri" w:cs="Calibri"/>
                <w:color w:val="000000"/>
                <w:lang w:eastAsia="es-CO"/>
              </w:rPr>
              <w:t>195,7</w:t>
            </w:r>
          </w:p>
        </w:tc>
        <w:tc>
          <w:tcPr>
            <w:tcW w:w="1262" w:type="dxa"/>
            <w:noWrap/>
            <w:vAlign w:val="center"/>
            <w:hideMark/>
          </w:tcPr>
          <w:p w:rsidR="004726F7" w:rsidRPr="0064777E" w:rsidRDefault="004726F7" w:rsidP="000033BD">
            <w:pPr>
              <w:jc w:val="center"/>
              <w:rPr>
                <w:rFonts w:ascii="Calibri" w:eastAsia="Times New Roman" w:hAnsi="Calibri" w:cs="Calibri"/>
                <w:color w:val="000000"/>
                <w:lang w:eastAsia="es-CO"/>
              </w:rPr>
            </w:pPr>
            <w:r>
              <w:rPr>
                <w:rFonts w:ascii="Calibri" w:eastAsia="Times New Roman" w:hAnsi="Calibri" w:cs="Calibri"/>
                <w:color w:val="000000"/>
                <w:lang w:eastAsia="es-CO"/>
              </w:rPr>
              <w:t>$2.152.700</w:t>
            </w:r>
          </w:p>
        </w:tc>
        <w:tc>
          <w:tcPr>
            <w:tcW w:w="1443" w:type="dxa"/>
            <w:noWrap/>
            <w:vAlign w:val="center"/>
            <w:hideMark/>
          </w:tcPr>
          <w:p w:rsidR="004726F7" w:rsidRPr="0064777E" w:rsidRDefault="004726F7" w:rsidP="000033BD">
            <w:pPr>
              <w:jc w:val="center"/>
              <w:rPr>
                <w:rFonts w:ascii="Calibri" w:eastAsia="Times New Roman" w:hAnsi="Calibri" w:cs="Calibri"/>
                <w:color w:val="000000"/>
                <w:lang w:eastAsia="es-CO"/>
              </w:rPr>
            </w:pPr>
            <w:r>
              <w:rPr>
                <w:rFonts w:ascii="Calibri" w:eastAsia="Times New Roman" w:hAnsi="Calibri" w:cs="Calibri"/>
                <w:color w:val="000000"/>
                <w:lang w:eastAsia="es-CO"/>
              </w:rPr>
              <w:t>$21.527.000</w:t>
            </w:r>
          </w:p>
        </w:tc>
      </w:tr>
    </w:tbl>
    <w:p w:rsidR="004726F7" w:rsidRPr="007176BD" w:rsidRDefault="004726F7" w:rsidP="004726F7">
      <w:pPr>
        <w:jc w:val="center"/>
        <w:rPr>
          <w:noProof/>
          <w:sz w:val="16"/>
          <w:lang w:val="es-ES"/>
        </w:rPr>
      </w:pPr>
      <w:r w:rsidRPr="007176BD">
        <w:rPr>
          <w:noProof/>
          <w:sz w:val="16"/>
          <w:lang w:val="es-ES"/>
        </w:rPr>
        <w:lastRenderedPageBreak/>
        <w:t>Fuente: Secuestro de carbono por Callo-Concha et al. (2000)</w:t>
      </w:r>
    </w:p>
    <w:p w:rsidR="004726F7" w:rsidRDefault="004726F7" w:rsidP="004726F7">
      <w:pPr>
        <w:jc w:val="both"/>
        <w:rPr>
          <w:noProof/>
          <w:lang w:val="es-ES"/>
        </w:rPr>
      </w:pPr>
    </w:p>
    <w:p w:rsidR="004726F7" w:rsidRDefault="004726F7" w:rsidP="004726F7">
      <w:pPr>
        <w:jc w:val="both"/>
      </w:pPr>
      <w:r>
        <w:rPr>
          <w:noProof/>
          <w:lang w:val="es-ES"/>
        </w:rPr>
        <w:t>Dependiendo del arreglo forestal y la actividad, se podria tener una financiacion por medio de las compensaciones de la empresa privada. Lo que incentivaria a la implementacion de arreglos y al cambio de uso del suelo.</w:t>
      </w:r>
    </w:p>
    <w:p w:rsidR="004A75F2" w:rsidRDefault="002553AC" w:rsidP="00185563">
      <w:pPr>
        <w:jc w:val="both"/>
      </w:pPr>
      <w:r>
        <w:t xml:space="preserve">En el departamento de Caqueta, de acuerdo con el mapa de ASOCARBONO, </w:t>
      </w:r>
      <w:r w:rsidR="004A75F2">
        <w:t xml:space="preserve">no existen proyectos para la venta de certificados. </w:t>
      </w:r>
    </w:p>
    <w:p w:rsidR="004726F7" w:rsidRDefault="004726F7" w:rsidP="00330D5C">
      <w:pPr>
        <w:pStyle w:val="Ttulo2"/>
      </w:pPr>
    </w:p>
    <w:p w:rsidR="006564FE" w:rsidRDefault="00185563" w:rsidP="00330D5C">
      <w:pPr>
        <w:pStyle w:val="Ttulo2"/>
      </w:pPr>
      <w:r w:rsidRPr="007E72CA">
        <w:t xml:space="preserve">Certificado de Incentivo Forestal CIF </w:t>
      </w:r>
    </w:p>
    <w:p w:rsidR="00384AB5" w:rsidRPr="004726F7" w:rsidRDefault="00384AB5" w:rsidP="00185563">
      <w:pPr>
        <w:jc w:val="both"/>
        <w:rPr>
          <w:b/>
          <w:i/>
          <w:u w:val="single"/>
          <w:lang w:val="es-ES"/>
        </w:rPr>
      </w:pPr>
    </w:p>
    <w:p w:rsidR="00105248" w:rsidRDefault="00105248" w:rsidP="00185563">
      <w:pPr>
        <w:jc w:val="both"/>
        <w:rPr>
          <w:b/>
          <w:i/>
          <w:u w:val="single"/>
        </w:rPr>
      </w:pPr>
    </w:p>
    <w:p w:rsidR="00105248" w:rsidRPr="00975459" w:rsidRDefault="00105248" w:rsidP="00330D5C">
      <w:pPr>
        <w:pStyle w:val="Ttulo2"/>
      </w:pPr>
      <w:r w:rsidRPr="00975459">
        <w:t>FINANCIACION</w:t>
      </w:r>
    </w:p>
    <w:p w:rsidR="00105248" w:rsidRDefault="00105248" w:rsidP="00330D5C">
      <w:pPr>
        <w:pStyle w:val="Ttulo4"/>
        <w:rPr>
          <w:lang w:val="es-ES"/>
        </w:rPr>
      </w:pPr>
      <w:r w:rsidRPr="0064637E">
        <w:rPr>
          <w:lang w:val="es-ES"/>
        </w:rPr>
        <w:t>Asignaciones provenientes del Sistema General de Participación (SGP)</w:t>
      </w:r>
    </w:p>
    <w:p w:rsidR="00105248" w:rsidRPr="00824946" w:rsidRDefault="00105248" w:rsidP="00105248">
      <w:pPr>
        <w:jc w:val="both"/>
        <w:rPr>
          <w:lang w:val="es-ES"/>
        </w:rPr>
      </w:pPr>
      <w:proofErr w:type="gramStart"/>
      <w:r w:rsidRPr="00824946">
        <w:rPr>
          <w:lang w:val="es-ES"/>
        </w:rPr>
        <w:t>De acuerdo a</w:t>
      </w:r>
      <w:proofErr w:type="gramEnd"/>
      <w:r w:rsidRPr="00824946">
        <w:rPr>
          <w:lang w:val="es-ES"/>
        </w:rPr>
        <w:t xml:space="preserve"> la información recogida</w:t>
      </w:r>
      <w:r>
        <w:rPr>
          <w:lang w:val="es-ES"/>
        </w:rPr>
        <w:t xml:space="preserve"> en el </w:t>
      </w:r>
      <w:r>
        <w:t xml:space="preserve">Sistema de Información y Consulta de Distribuciones SGR – SICODIS, el total de asignaciones para el departamento de Caquetá han estado rondando los $520 mil millones de pesos. Como se observa en la siguiente gráfica, en el año 2017 alcanzó su máximo con $535 mil millones de pesos. En el año 2019, se ha mostrado la menor asignación con $495 mil millones de pesos. </w:t>
      </w:r>
    </w:p>
    <w:p w:rsidR="00105248" w:rsidRDefault="00105248" w:rsidP="00105248">
      <w:pPr>
        <w:jc w:val="center"/>
        <w:rPr>
          <w:lang w:val="es-ES"/>
        </w:rPr>
      </w:pPr>
      <w:r>
        <w:rPr>
          <w:noProof/>
        </w:rPr>
        <w:drawing>
          <wp:anchor distT="0" distB="0" distL="114300" distR="114300" simplePos="0" relativeHeight="251659264" behindDoc="0" locked="0" layoutInCell="1" allowOverlap="1" wp14:anchorId="0E593171" wp14:editId="0ECA77EC">
            <wp:simplePos x="0" y="0"/>
            <wp:positionH relativeFrom="column">
              <wp:posOffset>435935</wp:posOffset>
            </wp:positionH>
            <wp:positionV relativeFrom="paragraph">
              <wp:posOffset>106325</wp:posOffset>
            </wp:positionV>
            <wp:extent cx="4895850" cy="2714625"/>
            <wp:effectExtent l="0" t="0" r="0" b="9525"/>
            <wp:wrapSquare wrapText="bothSides"/>
            <wp:docPr id="1" name="Gráfico 1">
              <a:extLst xmlns:a="http://schemas.openxmlformats.org/drawingml/2006/main">
                <a:ext uri="{FF2B5EF4-FFF2-40B4-BE49-F238E27FC236}">
                  <a16:creationId xmlns:a16="http://schemas.microsoft.com/office/drawing/2014/main" id="{FB7728CE-1B57-4EF1-ACD9-59108357EF3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lang w:val="es-ES"/>
        </w:rPr>
        <w:br w:type="textWrapping" w:clear="all"/>
      </w:r>
      <w:r w:rsidRPr="005363C9">
        <w:rPr>
          <w:sz w:val="20"/>
          <w:lang w:val="es-ES"/>
        </w:rPr>
        <w:t>Fuente: Elaboración propia del autor, datos SICODIS SGP</w:t>
      </w:r>
    </w:p>
    <w:p w:rsidR="00105248" w:rsidRDefault="00105248" w:rsidP="00105248">
      <w:pPr>
        <w:jc w:val="both"/>
        <w:rPr>
          <w:lang w:val="es-ES"/>
        </w:rPr>
      </w:pPr>
      <w:r>
        <w:rPr>
          <w:lang w:val="es-ES"/>
        </w:rPr>
        <w:t xml:space="preserve">Dentro de las asignaciones anuales, la repartición dentro de las diferentes asignaciones se ha mantenido prácticamente constante en los últimos cinco años. Las asignaciones para la educación han estado alrededor del 53%, las asignaciones de salud alrededor del 27%, las de agua potable y saneamiento básico alrededor del 6% y las asignaciones de propósito general alrededor del 11%. </w:t>
      </w:r>
    </w:p>
    <w:p w:rsidR="00105248" w:rsidRDefault="00105248" w:rsidP="00105248">
      <w:pPr>
        <w:jc w:val="both"/>
        <w:rPr>
          <w:lang w:val="es-ES"/>
        </w:rPr>
      </w:pPr>
      <w:r>
        <w:rPr>
          <w:lang w:val="es-ES"/>
        </w:rPr>
        <w:lastRenderedPageBreak/>
        <w:t xml:space="preserve">Para el propósito del documento, lo mas importante es enfocarse en las asignaciones de propósito general, las cuales son las destinadas a financiar o cofinanciar proyectos de inversión de interés municipal o distrital en cerca de 17 sectores (entre los que se encuentran vivienda, agropecuario, ambiente, recreación, cultura, justicia, transporte), La destinación de estos recursos depende la categoría de los municipios. Los municipios que son de categoría 4, 5 y 6, pueden destinar un 42% de esta asignación para inversión u otros gastos asociados al funcionamiento de la administración, lo que se denomina libre destinación. Adicionalmente, deben destinar recursos para los sectores de deporte y cultura, al igual que financiar el pasivo pensional, el resto de los recursos se destinará a libre inversión en los demás sectores que tienen competencias los municipios. Por otro lado, los municipios de categorías 1, 2 y 3, deben destinar 100% de la asignación a inversión. </w:t>
      </w:r>
    </w:p>
    <w:p w:rsidR="00105248" w:rsidRDefault="00105248" w:rsidP="00105248">
      <w:pPr>
        <w:jc w:val="both"/>
        <w:rPr>
          <w:lang w:val="es-ES"/>
        </w:rPr>
      </w:pPr>
      <w:r>
        <w:rPr>
          <w:lang w:val="es-ES"/>
        </w:rPr>
        <w:t xml:space="preserve">Los fondos para un incentivo podrían venir directamente de esta asignación, específicamente la de libre inversión, el cual tiene dentro de sus especificaciones la inversión en medio ambiente. </w:t>
      </w:r>
    </w:p>
    <w:p w:rsidR="00105248" w:rsidRDefault="00105248" w:rsidP="00105248">
      <w:pPr>
        <w:jc w:val="both"/>
        <w:rPr>
          <w:lang w:val="es-ES"/>
        </w:rPr>
      </w:pPr>
    </w:p>
    <w:tbl>
      <w:tblPr>
        <w:tblW w:w="9400" w:type="dxa"/>
        <w:jc w:val="center"/>
        <w:tblCellMar>
          <w:left w:w="70" w:type="dxa"/>
          <w:right w:w="70" w:type="dxa"/>
        </w:tblCellMar>
        <w:tblLook w:val="04A0" w:firstRow="1" w:lastRow="0" w:firstColumn="1" w:lastColumn="0" w:noHBand="0" w:noVBand="1"/>
      </w:tblPr>
      <w:tblGrid>
        <w:gridCol w:w="3040"/>
        <w:gridCol w:w="1300"/>
        <w:gridCol w:w="1220"/>
        <w:gridCol w:w="1200"/>
        <w:gridCol w:w="1340"/>
        <w:gridCol w:w="1300"/>
      </w:tblGrid>
      <w:tr w:rsidR="00105248" w:rsidRPr="00F6416E" w:rsidTr="00E57F8B">
        <w:trPr>
          <w:trHeight w:val="255"/>
          <w:jc w:val="center"/>
        </w:trPr>
        <w:tc>
          <w:tcPr>
            <w:tcW w:w="3040" w:type="dxa"/>
            <w:tcBorders>
              <w:top w:val="single" w:sz="4" w:space="0" w:color="000000"/>
              <w:left w:val="single" w:sz="4" w:space="0" w:color="000000"/>
              <w:bottom w:val="single" w:sz="4" w:space="0" w:color="000000"/>
              <w:right w:val="single" w:sz="4" w:space="0" w:color="000000"/>
            </w:tcBorders>
            <w:shd w:val="clear" w:color="000000" w:fill="C5D9F1"/>
            <w:vAlign w:val="center"/>
            <w:hideMark/>
          </w:tcPr>
          <w:p w:rsidR="00105248" w:rsidRPr="00F6416E" w:rsidRDefault="00105248" w:rsidP="00E57F8B">
            <w:pPr>
              <w:spacing w:after="0" w:line="240" w:lineRule="auto"/>
              <w:jc w:val="center"/>
              <w:rPr>
                <w:rFonts w:ascii="Arial" w:eastAsia="Times New Roman" w:hAnsi="Arial" w:cs="Arial"/>
                <w:b/>
                <w:bCs/>
                <w:sz w:val="18"/>
                <w:szCs w:val="18"/>
                <w:lang w:eastAsia="es-CO"/>
              </w:rPr>
            </w:pPr>
            <w:r w:rsidRPr="00F6416E">
              <w:rPr>
                <w:rFonts w:ascii="Arial" w:eastAsia="Times New Roman" w:hAnsi="Arial" w:cs="Arial"/>
                <w:b/>
                <w:bCs/>
                <w:sz w:val="18"/>
                <w:szCs w:val="18"/>
                <w:lang w:eastAsia="es-CO"/>
              </w:rPr>
              <w:t>Concepto</w:t>
            </w:r>
          </w:p>
        </w:tc>
        <w:tc>
          <w:tcPr>
            <w:tcW w:w="1300" w:type="dxa"/>
            <w:tcBorders>
              <w:top w:val="single" w:sz="4" w:space="0" w:color="000000"/>
              <w:left w:val="nil"/>
              <w:bottom w:val="single" w:sz="4" w:space="0" w:color="000000"/>
              <w:right w:val="single" w:sz="4" w:space="0" w:color="000000"/>
            </w:tcBorders>
            <w:shd w:val="clear" w:color="000000" w:fill="C5D9F1"/>
            <w:vAlign w:val="center"/>
            <w:hideMark/>
          </w:tcPr>
          <w:p w:rsidR="00105248" w:rsidRPr="00F6416E" w:rsidRDefault="00105248" w:rsidP="00E57F8B">
            <w:pPr>
              <w:spacing w:after="0" w:line="240" w:lineRule="auto"/>
              <w:jc w:val="center"/>
              <w:rPr>
                <w:rFonts w:ascii="Arial" w:eastAsia="Times New Roman" w:hAnsi="Arial" w:cs="Arial"/>
                <w:b/>
                <w:bCs/>
                <w:sz w:val="18"/>
                <w:szCs w:val="18"/>
                <w:lang w:eastAsia="es-CO"/>
              </w:rPr>
            </w:pPr>
            <w:r w:rsidRPr="00F6416E">
              <w:rPr>
                <w:rFonts w:ascii="Arial" w:eastAsia="Times New Roman" w:hAnsi="Arial" w:cs="Arial"/>
                <w:b/>
                <w:bCs/>
                <w:sz w:val="18"/>
                <w:szCs w:val="18"/>
                <w:lang w:eastAsia="es-CO"/>
              </w:rPr>
              <w:t>2015</w:t>
            </w:r>
          </w:p>
        </w:tc>
        <w:tc>
          <w:tcPr>
            <w:tcW w:w="1220" w:type="dxa"/>
            <w:tcBorders>
              <w:top w:val="single" w:sz="4" w:space="0" w:color="000000"/>
              <w:left w:val="nil"/>
              <w:bottom w:val="single" w:sz="4" w:space="0" w:color="000000"/>
              <w:right w:val="single" w:sz="4" w:space="0" w:color="000000"/>
            </w:tcBorders>
            <w:shd w:val="clear" w:color="000000" w:fill="C5D9F1"/>
            <w:vAlign w:val="center"/>
            <w:hideMark/>
          </w:tcPr>
          <w:p w:rsidR="00105248" w:rsidRPr="00F6416E" w:rsidRDefault="00105248" w:rsidP="00E57F8B">
            <w:pPr>
              <w:spacing w:after="0" w:line="240" w:lineRule="auto"/>
              <w:jc w:val="center"/>
              <w:rPr>
                <w:rFonts w:ascii="Arial" w:eastAsia="Times New Roman" w:hAnsi="Arial" w:cs="Arial"/>
                <w:b/>
                <w:bCs/>
                <w:sz w:val="18"/>
                <w:szCs w:val="18"/>
                <w:lang w:eastAsia="es-CO"/>
              </w:rPr>
            </w:pPr>
            <w:r w:rsidRPr="00F6416E">
              <w:rPr>
                <w:rFonts w:ascii="Arial" w:eastAsia="Times New Roman" w:hAnsi="Arial" w:cs="Arial"/>
                <w:b/>
                <w:bCs/>
                <w:sz w:val="18"/>
                <w:szCs w:val="18"/>
                <w:lang w:eastAsia="es-CO"/>
              </w:rPr>
              <w:t>2016</w:t>
            </w:r>
          </w:p>
        </w:tc>
        <w:tc>
          <w:tcPr>
            <w:tcW w:w="1200" w:type="dxa"/>
            <w:tcBorders>
              <w:top w:val="single" w:sz="4" w:space="0" w:color="000000"/>
              <w:left w:val="nil"/>
              <w:bottom w:val="single" w:sz="4" w:space="0" w:color="000000"/>
              <w:right w:val="single" w:sz="4" w:space="0" w:color="000000"/>
            </w:tcBorders>
            <w:shd w:val="clear" w:color="000000" w:fill="C5D9F1"/>
            <w:vAlign w:val="center"/>
            <w:hideMark/>
          </w:tcPr>
          <w:p w:rsidR="00105248" w:rsidRPr="00F6416E" w:rsidRDefault="00105248" w:rsidP="00E57F8B">
            <w:pPr>
              <w:spacing w:after="0" w:line="240" w:lineRule="auto"/>
              <w:jc w:val="center"/>
              <w:rPr>
                <w:rFonts w:ascii="Arial" w:eastAsia="Times New Roman" w:hAnsi="Arial" w:cs="Arial"/>
                <w:b/>
                <w:bCs/>
                <w:sz w:val="18"/>
                <w:szCs w:val="18"/>
                <w:lang w:eastAsia="es-CO"/>
              </w:rPr>
            </w:pPr>
            <w:r w:rsidRPr="00F6416E">
              <w:rPr>
                <w:rFonts w:ascii="Arial" w:eastAsia="Times New Roman" w:hAnsi="Arial" w:cs="Arial"/>
                <w:b/>
                <w:bCs/>
                <w:sz w:val="18"/>
                <w:szCs w:val="18"/>
                <w:lang w:eastAsia="es-CO"/>
              </w:rPr>
              <w:t>2017</w:t>
            </w:r>
          </w:p>
        </w:tc>
        <w:tc>
          <w:tcPr>
            <w:tcW w:w="1340" w:type="dxa"/>
            <w:tcBorders>
              <w:top w:val="single" w:sz="4" w:space="0" w:color="000000"/>
              <w:left w:val="nil"/>
              <w:bottom w:val="single" w:sz="4" w:space="0" w:color="000000"/>
              <w:right w:val="single" w:sz="4" w:space="0" w:color="000000"/>
            </w:tcBorders>
            <w:shd w:val="clear" w:color="000000" w:fill="C5D9F1"/>
            <w:vAlign w:val="center"/>
            <w:hideMark/>
          </w:tcPr>
          <w:p w:rsidR="00105248" w:rsidRPr="00F6416E" w:rsidRDefault="00105248" w:rsidP="00E57F8B">
            <w:pPr>
              <w:spacing w:after="0" w:line="240" w:lineRule="auto"/>
              <w:jc w:val="center"/>
              <w:rPr>
                <w:rFonts w:ascii="Arial" w:eastAsia="Times New Roman" w:hAnsi="Arial" w:cs="Arial"/>
                <w:b/>
                <w:bCs/>
                <w:sz w:val="18"/>
                <w:szCs w:val="18"/>
                <w:lang w:eastAsia="es-CO"/>
              </w:rPr>
            </w:pPr>
            <w:r w:rsidRPr="00F6416E">
              <w:rPr>
                <w:rFonts w:ascii="Arial" w:eastAsia="Times New Roman" w:hAnsi="Arial" w:cs="Arial"/>
                <w:b/>
                <w:bCs/>
                <w:sz w:val="18"/>
                <w:szCs w:val="18"/>
                <w:lang w:eastAsia="es-CO"/>
              </w:rPr>
              <w:t>2018</w:t>
            </w:r>
          </w:p>
        </w:tc>
        <w:tc>
          <w:tcPr>
            <w:tcW w:w="1300" w:type="dxa"/>
            <w:tcBorders>
              <w:top w:val="single" w:sz="4" w:space="0" w:color="000000"/>
              <w:left w:val="nil"/>
              <w:bottom w:val="single" w:sz="4" w:space="0" w:color="000000"/>
              <w:right w:val="single" w:sz="4" w:space="0" w:color="000000"/>
            </w:tcBorders>
            <w:shd w:val="clear" w:color="000000" w:fill="C5D9F1"/>
            <w:vAlign w:val="center"/>
            <w:hideMark/>
          </w:tcPr>
          <w:p w:rsidR="00105248" w:rsidRPr="00F6416E" w:rsidRDefault="00105248" w:rsidP="00E57F8B">
            <w:pPr>
              <w:spacing w:after="0" w:line="240" w:lineRule="auto"/>
              <w:jc w:val="center"/>
              <w:rPr>
                <w:rFonts w:ascii="Arial" w:eastAsia="Times New Roman" w:hAnsi="Arial" w:cs="Arial"/>
                <w:b/>
                <w:bCs/>
                <w:sz w:val="18"/>
                <w:szCs w:val="18"/>
                <w:lang w:eastAsia="es-CO"/>
              </w:rPr>
            </w:pPr>
            <w:r w:rsidRPr="00F6416E">
              <w:rPr>
                <w:rFonts w:ascii="Arial" w:eastAsia="Times New Roman" w:hAnsi="Arial" w:cs="Arial"/>
                <w:b/>
                <w:bCs/>
                <w:sz w:val="18"/>
                <w:szCs w:val="18"/>
                <w:lang w:eastAsia="es-CO"/>
              </w:rPr>
              <w:t>2019</w:t>
            </w:r>
          </w:p>
        </w:tc>
      </w:tr>
      <w:tr w:rsidR="00105248" w:rsidRPr="00F6416E" w:rsidTr="00E57F8B">
        <w:trPr>
          <w:trHeight w:val="270"/>
          <w:jc w:val="center"/>
        </w:trPr>
        <w:tc>
          <w:tcPr>
            <w:tcW w:w="3040" w:type="dxa"/>
            <w:tcBorders>
              <w:top w:val="nil"/>
              <w:left w:val="single" w:sz="4" w:space="0" w:color="000000"/>
              <w:bottom w:val="single" w:sz="8" w:space="0" w:color="000000"/>
              <w:right w:val="single" w:sz="8" w:space="0" w:color="000000"/>
            </w:tcBorders>
            <w:shd w:val="clear" w:color="auto" w:fill="auto"/>
            <w:vAlign w:val="center"/>
            <w:hideMark/>
          </w:tcPr>
          <w:p w:rsidR="00105248" w:rsidRPr="00F6416E" w:rsidRDefault="00105248" w:rsidP="00E57F8B">
            <w:pPr>
              <w:spacing w:after="0" w:line="240" w:lineRule="auto"/>
              <w:rPr>
                <w:rFonts w:ascii="Arial" w:eastAsia="Times New Roman" w:hAnsi="Arial" w:cs="Arial"/>
                <w:b/>
                <w:bCs/>
                <w:sz w:val="18"/>
                <w:szCs w:val="18"/>
                <w:lang w:eastAsia="es-CO"/>
              </w:rPr>
            </w:pPr>
            <w:r w:rsidRPr="00F6416E">
              <w:rPr>
                <w:rFonts w:ascii="Arial" w:eastAsia="Times New Roman" w:hAnsi="Arial" w:cs="Arial"/>
                <w:b/>
                <w:bCs/>
                <w:sz w:val="18"/>
                <w:szCs w:val="18"/>
                <w:lang w:eastAsia="es-CO"/>
              </w:rPr>
              <w:t>Educación</w:t>
            </w:r>
          </w:p>
        </w:tc>
        <w:tc>
          <w:tcPr>
            <w:tcW w:w="1300" w:type="dxa"/>
            <w:tcBorders>
              <w:top w:val="nil"/>
              <w:left w:val="nil"/>
              <w:bottom w:val="single" w:sz="4" w:space="0" w:color="auto"/>
              <w:right w:val="single" w:sz="4" w:space="0" w:color="auto"/>
            </w:tcBorders>
            <w:shd w:val="clear" w:color="auto" w:fill="auto"/>
            <w:noWrap/>
            <w:vAlign w:val="bottom"/>
            <w:hideMark/>
          </w:tcPr>
          <w:p w:rsidR="00105248" w:rsidRPr="00F6416E" w:rsidRDefault="00105248" w:rsidP="00E57F8B">
            <w:pPr>
              <w:spacing w:after="0" w:line="240" w:lineRule="auto"/>
              <w:jc w:val="right"/>
              <w:rPr>
                <w:rFonts w:ascii="Arial" w:eastAsia="Times New Roman" w:hAnsi="Arial" w:cs="Arial"/>
                <w:sz w:val="20"/>
                <w:szCs w:val="20"/>
                <w:lang w:eastAsia="es-CO"/>
              </w:rPr>
            </w:pPr>
            <w:r w:rsidRPr="00F6416E">
              <w:rPr>
                <w:rFonts w:ascii="Arial" w:eastAsia="Times New Roman" w:hAnsi="Arial" w:cs="Arial"/>
                <w:sz w:val="20"/>
                <w:szCs w:val="20"/>
                <w:lang w:eastAsia="es-CO"/>
              </w:rPr>
              <w:t>51,0%</w:t>
            </w:r>
          </w:p>
        </w:tc>
        <w:tc>
          <w:tcPr>
            <w:tcW w:w="1220" w:type="dxa"/>
            <w:tcBorders>
              <w:top w:val="nil"/>
              <w:left w:val="nil"/>
              <w:bottom w:val="single" w:sz="4" w:space="0" w:color="auto"/>
              <w:right w:val="single" w:sz="4" w:space="0" w:color="auto"/>
            </w:tcBorders>
            <w:shd w:val="clear" w:color="auto" w:fill="auto"/>
            <w:noWrap/>
            <w:vAlign w:val="bottom"/>
            <w:hideMark/>
          </w:tcPr>
          <w:p w:rsidR="00105248" w:rsidRPr="00F6416E" w:rsidRDefault="00105248" w:rsidP="00E57F8B">
            <w:pPr>
              <w:spacing w:after="0" w:line="240" w:lineRule="auto"/>
              <w:jc w:val="right"/>
              <w:rPr>
                <w:rFonts w:ascii="Arial" w:eastAsia="Times New Roman" w:hAnsi="Arial" w:cs="Arial"/>
                <w:sz w:val="20"/>
                <w:szCs w:val="20"/>
                <w:lang w:eastAsia="es-CO"/>
              </w:rPr>
            </w:pPr>
            <w:r w:rsidRPr="00F6416E">
              <w:rPr>
                <w:rFonts w:ascii="Arial" w:eastAsia="Times New Roman" w:hAnsi="Arial" w:cs="Arial"/>
                <w:sz w:val="20"/>
                <w:szCs w:val="20"/>
                <w:lang w:eastAsia="es-CO"/>
              </w:rPr>
              <w:t>51,4%</w:t>
            </w:r>
          </w:p>
        </w:tc>
        <w:tc>
          <w:tcPr>
            <w:tcW w:w="1200" w:type="dxa"/>
            <w:tcBorders>
              <w:top w:val="nil"/>
              <w:left w:val="nil"/>
              <w:bottom w:val="single" w:sz="4" w:space="0" w:color="auto"/>
              <w:right w:val="single" w:sz="4" w:space="0" w:color="auto"/>
            </w:tcBorders>
            <w:shd w:val="clear" w:color="auto" w:fill="auto"/>
            <w:noWrap/>
            <w:vAlign w:val="bottom"/>
            <w:hideMark/>
          </w:tcPr>
          <w:p w:rsidR="00105248" w:rsidRPr="00F6416E" w:rsidRDefault="00105248" w:rsidP="00E57F8B">
            <w:pPr>
              <w:spacing w:after="0" w:line="240" w:lineRule="auto"/>
              <w:jc w:val="right"/>
              <w:rPr>
                <w:rFonts w:ascii="Arial" w:eastAsia="Times New Roman" w:hAnsi="Arial" w:cs="Arial"/>
                <w:sz w:val="20"/>
                <w:szCs w:val="20"/>
                <w:lang w:eastAsia="es-CO"/>
              </w:rPr>
            </w:pPr>
            <w:r w:rsidRPr="00F6416E">
              <w:rPr>
                <w:rFonts w:ascii="Arial" w:eastAsia="Times New Roman" w:hAnsi="Arial" w:cs="Arial"/>
                <w:sz w:val="20"/>
                <w:szCs w:val="20"/>
                <w:lang w:eastAsia="es-CO"/>
              </w:rPr>
              <w:t>55,4%</w:t>
            </w:r>
          </w:p>
        </w:tc>
        <w:tc>
          <w:tcPr>
            <w:tcW w:w="1340" w:type="dxa"/>
            <w:tcBorders>
              <w:top w:val="nil"/>
              <w:left w:val="nil"/>
              <w:bottom w:val="single" w:sz="4" w:space="0" w:color="auto"/>
              <w:right w:val="single" w:sz="4" w:space="0" w:color="auto"/>
            </w:tcBorders>
            <w:shd w:val="clear" w:color="auto" w:fill="auto"/>
            <w:noWrap/>
            <w:vAlign w:val="bottom"/>
            <w:hideMark/>
          </w:tcPr>
          <w:p w:rsidR="00105248" w:rsidRPr="00F6416E" w:rsidRDefault="00105248" w:rsidP="00E57F8B">
            <w:pPr>
              <w:spacing w:after="0" w:line="240" w:lineRule="auto"/>
              <w:jc w:val="right"/>
              <w:rPr>
                <w:rFonts w:ascii="Arial" w:eastAsia="Times New Roman" w:hAnsi="Arial" w:cs="Arial"/>
                <w:sz w:val="20"/>
                <w:szCs w:val="20"/>
                <w:lang w:eastAsia="es-CO"/>
              </w:rPr>
            </w:pPr>
            <w:r w:rsidRPr="00F6416E">
              <w:rPr>
                <w:rFonts w:ascii="Arial" w:eastAsia="Times New Roman" w:hAnsi="Arial" w:cs="Arial"/>
                <w:sz w:val="20"/>
                <w:szCs w:val="20"/>
                <w:lang w:eastAsia="es-CO"/>
              </w:rPr>
              <w:t>55,8%</w:t>
            </w:r>
          </w:p>
        </w:tc>
        <w:tc>
          <w:tcPr>
            <w:tcW w:w="1300" w:type="dxa"/>
            <w:tcBorders>
              <w:top w:val="nil"/>
              <w:left w:val="nil"/>
              <w:bottom w:val="single" w:sz="4" w:space="0" w:color="auto"/>
              <w:right w:val="single" w:sz="4" w:space="0" w:color="auto"/>
            </w:tcBorders>
            <w:shd w:val="clear" w:color="auto" w:fill="auto"/>
            <w:noWrap/>
            <w:vAlign w:val="bottom"/>
            <w:hideMark/>
          </w:tcPr>
          <w:p w:rsidR="00105248" w:rsidRPr="00F6416E" w:rsidRDefault="00105248" w:rsidP="00E57F8B">
            <w:pPr>
              <w:spacing w:after="0" w:line="240" w:lineRule="auto"/>
              <w:jc w:val="right"/>
              <w:rPr>
                <w:rFonts w:ascii="Arial" w:eastAsia="Times New Roman" w:hAnsi="Arial" w:cs="Arial"/>
                <w:sz w:val="20"/>
                <w:szCs w:val="20"/>
                <w:lang w:eastAsia="es-CO"/>
              </w:rPr>
            </w:pPr>
            <w:r w:rsidRPr="00F6416E">
              <w:rPr>
                <w:rFonts w:ascii="Arial" w:eastAsia="Times New Roman" w:hAnsi="Arial" w:cs="Arial"/>
                <w:sz w:val="20"/>
                <w:szCs w:val="20"/>
                <w:lang w:eastAsia="es-CO"/>
              </w:rPr>
              <w:t>53,7%</w:t>
            </w:r>
          </w:p>
        </w:tc>
      </w:tr>
      <w:tr w:rsidR="00105248" w:rsidRPr="00F6416E" w:rsidTr="00E57F8B">
        <w:trPr>
          <w:trHeight w:val="270"/>
          <w:jc w:val="center"/>
        </w:trPr>
        <w:tc>
          <w:tcPr>
            <w:tcW w:w="3040" w:type="dxa"/>
            <w:tcBorders>
              <w:top w:val="nil"/>
              <w:left w:val="single" w:sz="4" w:space="0" w:color="000000"/>
              <w:bottom w:val="single" w:sz="8" w:space="0" w:color="000000"/>
              <w:right w:val="single" w:sz="8" w:space="0" w:color="000000"/>
            </w:tcBorders>
            <w:shd w:val="clear" w:color="auto" w:fill="auto"/>
            <w:vAlign w:val="center"/>
            <w:hideMark/>
          </w:tcPr>
          <w:p w:rsidR="00105248" w:rsidRPr="00F6416E" w:rsidRDefault="00105248" w:rsidP="00E57F8B">
            <w:pPr>
              <w:spacing w:after="0" w:line="240" w:lineRule="auto"/>
              <w:rPr>
                <w:rFonts w:ascii="Arial" w:eastAsia="Times New Roman" w:hAnsi="Arial" w:cs="Arial"/>
                <w:b/>
                <w:bCs/>
                <w:sz w:val="18"/>
                <w:szCs w:val="18"/>
                <w:lang w:eastAsia="es-CO"/>
              </w:rPr>
            </w:pPr>
            <w:r w:rsidRPr="00F6416E">
              <w:rPr>
                <w:rFonts w:ascii="Arial" w:eastAsia="Times New Roman" w:hAnsi="Arial" w:cs="Arial"/>
                <w:b/>
                <w:bCs/>
                <w:sz w:val="18"/>
                <w:szCs w:val="18"/>
                <w:lang w:eastAsia="es-CO"/>
              </w:rPr>
              <w:t>Salud</w:t>
            </w:r>
          </w:p>
        </w:tc>
        <w:tc>
          <w:tcPr>
            <w:tcW w:w="1300" w:type="dxa"/>
            <w:tcBorders>
              <w:top w:val="nil"/>
              <w:left w:val="nil"/>
              <w:bottom w:val="single" w:sz="4" w:space="0" w:color="auto"/>
              <w:right w:val="single" w:sz="4" w:space="0" w:color="auto"/>
            </w:tcBorders>
            <w:shd w:val="clear" w:color="auto" w:fill="auto"/>
            <w:noWrap/>
            <w:vAlign w:val="bottom"/>
            <w:hideMark/>
          </w:tcPr>
          <w:p w:rsidR="00105248" w:rsidRPr="00F6416E" w:rsidRDefault="00105248" w:rsidP="00E57F8B">
            <w:pPr>
              <w:spacing w:after="0" w:line="240" w:lineRule="auto"/>
              <w:jc w:val="right"/>
              <w:rPr>
                <w:rFonts w:ascii="Arial" w:eastAsia="Times New Roman" w:hAnsi="Arial" w:cs="Arial"/>
                <w:sz w:val="20"/>
                <w:szCs w:val="20"/>
                <w:lang w:eastAsia="es-CO"/>
              </w:rPr>
            </w:pPr>
            <w:r w:rsidRPr="00F6416E">
              <w:rPr>
                <w:rFonts w:ascii="Arial" w:eastAsia="Times New Roman" w:hAnsi="Arial" w:cs="Arial"/>
                <w:sz w:val="20"/>
                <w:szCs w:val="20"/>
                <w:lang w:eastAsia="es-CO"/>
              </w:rPr>
              <w:t>27,2%</w:t>
            </w:r>
          </w:p>
        </w:tc>
        <w:tc>
          <w:tcPr>
            <w:tcW w:w="1220" w:type="dxa"/>
            <w:tcBorders>
              <w:top w:val="nil"/>
              <w:left w:val="nil"/>
              <w:bottom w:val="single" w:sz="4" w:space="0" w:color="auto"/>
              <w:right w:val="single" w:sz="4" w:space="0" w:color="auto"/>
            </w:tcBorders>
            <w:shd w:val="clear" w:color="auto" w:fill="auto"/>
            <w:noWrap/>
            <w:vAlign w:val="bottom"/>
            <w:hideMark/>
          </w:tcPr>
          <w:p w:rsidR="00105248" w:rsidRPr="00F6416E" w:rsidRDefault="00105248" w:rsidP="00E57F8B">
            <w:pPr>
              <w:spacing w:after="0" w:line="240" w:lineRule="auto"/>
              <w:jc w:val="right"/>
              <w:rPr>
                <w:rFonts w:ascii="Arial" w:eastAsia="Times New Roman" w:hAnsi="Arial" w:cs="Arial"/>
                <w:sz w:val="20"/>
                <w:szCs w:val="20"/>
                <w:lang w:eastAsia="es-CO"/>
              </w:rPr>
            </w:pPr>
            <w:r w:rsidRPr="00F6416E">
              <w:rPr>
                <w:rFonts w:ascii="Arial" w:eastAsia="Times New Roman" w:hAnsi="Arial" w:cs="Arial"/>
                <w:sz w:val="20"/>
                <w:szCs w:val="20"/>
                <w:lang w:eastAsia="es-CO"/>
              </w:rPr>
              <w:t>27,0%</w:t>
            </w:r>
          </w:p>
        </w:tc>
        <w:tc>
          <w:tcPr>
            <w:tcW w:w="1200" w:type="dxa"/>
            <w:tcBorders>
              <w:top w:val="nil"/>
              <w:left w:val="nil"/>
              <w:bottom w:val="single" w:sz="4" w:space="0" w:color="auto"/>
              <w:right w:val="single" w:sz="4" w:space="0" w:color="auto"/>
            </w:tcBorders>
            <w:shd w:val="clear" w:color="auto" w:fill="auto"/>
            <w:noWrap/>
            <w:vAlign w:val="bottom"/>
            <w:hideMark/>
          </w:tcPr>
          <w:p w:rsidR="00105248" w:rsidRPr="00F6416E" w:rsidRDefault="00105248" w:rsidP="00E57F8B">
            <w:pPr>
              <w:spacing w:after="0" w:line="240" w:lineRule="auto"/>
              <w:jc w:val="right"/>
              <w:rPr>
                <w:rFonts w:ascii="Arial" w:eastAsia="Times New Roman" w:hAnsi="Arial" w:cs="Arial"/>
                <w:sz w:val="20"/>
                <w:szCs w:val="20"/>
                <w:lang w:eastAsia="es-CO"/>
              </w:rPr>
            </w:pPr>
            <w:r w:rsidRPr="00F6416E">
              <w:rPr>
                <w:rFonts w:ascii="Arial" w:eastAsia="Times New Roman" w:hAnsi="Arial" w:cs="Arial"/>
                <w:sz w:val="20"/>
                <w:szCs w:val="20"/>
                <w:lang w:eastAsia="es-CO"/>
              </w:rPr>
              <w:t>24,6%</w:t>
            </w:r>
          </w:p>
        </w:tc>
        <w:tc>
          <w:tcPr>
            <w:tcW w:w="1340" w:type="dxa"/>
            <w:tcBorders>
              <w:top w:val="nil"/>
              <w:left w:val="nil"/>
              <w:bottom w:val="single" w:sz="4" w:space="0" w:color="auto"/>
              <w:right w:val="single" w:sz="4" w:space="0" w:color="auto"/>
            </w:tcBorders>
            <w:shd w:val="clear" w:color="auto" w:fill="auto"/>
            <w:noWrap/>
            <w:vAlign w:val="bottom"/>
            <w:hideMark/>
          </w:tcPr>
          <w:p w:rsidR="00105248" w:rsidRPr="00F6416E" w:rsidRDefault="00105248" w:rsidP="00E57F8B">
            <w:pPr>
              <w:spacing w:after="0" w:line="240" w:lineRule="auto"/>
              <w:jc w:val="right"/>
              <w:rPr>
                <w:rFonts w:ascii="Arial" w:eastAsia="Times New Roman" w:hAnsi="Arial" w:cs="Arial"/>
                <w:sz w:val="20"/>
                <w:szCs w:val="20"/>
                <w:lang w:eastAsia="es-CO"/>
              </w:rPr>
            </w:pPr>
            <w:r w:rsidRPr="00F6416E">
              <w:rPr>
                <w:rFonts w:ascii="Arial" w:eastAsia="Times New Roman" w:hAnsi="Arial" w:cs="Arial"/>
                <w:sz w:val="20"/>
                <w:szCs w:val="20"/>
                <w:lang w:eastAsia="es-CO"/>
              </w:rPr>
              <w:t>26,0%</w:t>
            </w:r>
          </w:p>
        </w:tc>
        <w:tc>
          <w:tcPr>
            <w:tcW w:w="1300" w:type="dxa"/>
            <w:tcBorders>
              <w:top w:val="nil"/>
              <w:left w:val="nil"/>
              <w:bottom w:val="single" w:sz="4" w:space="0" w:color="auto"/>
              <w:right w:val="single" w:sz="4" w:space="0" w:color="auto"/>
            </w:tcBorders>
            <w:shd w:val="clear" w:color="auto" w:fill="auto"/>
            <w:noWrap/>
            <w:vAlign w:val="bottom"/>
            <w:hideMark/>
          </w:tcPr>
          <w:p w:rsidR="00105248" w:rsidRPr="00F6416E" w:rsidRDefault="00105248" w:rsidP="00E57F8B">
            <w:pPr>
              <w:spacing w:after="0" w:line="240" w:lineRule="auto"/>
              <w:jc w:val="right"/>
              <w:rPr>
                <w:rFonts w:ascii="Arial" w:eastAsia="Times New Roman" w:hAnsi="Arial" w:cs="Arial"/>
                <w:sz w:val="20"/>
                <w:szCs w:val="20"/>
                <w:lang w:eastAsia="es-CO"/>
              </w:rPr>
            </w:pPr>
            <w:r w:rsidRPr="00F6416E">
              <w:rPr>
                <w:rFonts w:ascii="Arial" w:eastAsia="Times New Roman" w:hAnsi="Arial" w:cs="Arial"/>
                <w:sz w:val="20"/>
                <w:szCs w:val="20"/>
                <w:lang w:eastAsia="es-CO"/>
              </w:rPr>
              <w:t>27,2%</w:t>
            </w:r>
          </w:p>
        </w:tc>
      </w:tr>
      <w:tr w:rsidR="00105248" w:rsidRPr="00F6416E" w:rsidTr="00E57F8B">
        <w:trPr>
          <w:trHeight w:val="270"/>
          <w:jc w:val="center"/>
        </w:trPr>
        <w:tc>
          <w:tcPr>
            <w:tcW w:w="3040" w:type="dxa"/>
            <w:tcBorders>
              <w:top w:val="nil"/>
              <w:left w:val="single" w:sz="4" w:space="0" w:color="000000"/>
              <w:bottom w:val="single" w:sz="8" w:space="0" w:color="000000"/>
              <w:right w:val="single" w:sz="8" w:space="0" w:color="000000"/>
            </w:tcBorders>
            <w:shd w:val="clear" w:color="auto" w:fill="auto"/>
            <w:vAlign w:val="center"/>
            <w:hideMark/>
          </w:tcPr>
          <w:p w:rsidR="00105248" w:rsidRPr="00F6416E" w:rsidRDefault="00105248" w:rsidP="00E57F8B">
            <w:pPr>
              <w:spacing w:after="0" w:line="240" w:lineRule="auto"/>
              <w:rPr>
                <w:rFonts w:ascii="Arial" w:eastAsia="Times New Roman" w:hAnsi="Arial" w:cs="Arial"/>
                <w:b/>
                <w:bCs/>
                <w:sz w:val="18"/>
                <w:szCs w:val="18"/>
                <w:lang w:eastAsia="es-CO"/>
              </w:rPr>
            </w:pPr>
            <w:r w:rsidRPr="00F6416E">
              <w:rPr>
                <w:rFonts w:ascii="Arial" w:eastAsia="Times New Roman" w:hAnsi="Arial" w:cs="Arial"/>
                <w:b/>
                <w:bCs/>
                <w:sz w:val="18"/>
                <w:szCs w:val="18"/>
                <w:lang w:eastAsia="es-CO"/>
              </w:rPr>
              <w:t>Agua Potable</w:t>
            </w:r>
          </w:p>
        </w:tc>
        <w:tc>
          <w:tcPr>
            <w:tcW w:w="1300" w:type="dxa"/>
            <w:tcBorders>
              <w:top w:val="nil"/>
              <w:left w:val="nil"/>
              <w:bottom w:val="single" w:sz="4" w:space="0" w:color="auto"/>
              <w:right w:val="single" w:sz="4" w:space="0" w:color="auto"/>
            </w:tcBorders>
            <w:shd w:val="clear" w:color="auto" w:fill="auto"/>
            <w:noWrap/>
            <w:vAlign w:val="bottom"/>
            <w:hideMark/>
          </w:tcPr>
          <w:p w:rsidR="00105248" w:rsidRPr="00F6416E" w:rsidRDefault="00105248" w:rsidP="00E57F8B">
            <w:pPr>
              <w:spacing w:after="0" w:line="240" w:lineRule="auto"/>
              <w:jc w:val="right"/>
              <w:rPr>
                <w:rFonts w:ascii="Arial" w:eastAsia="Times New Roman" w:hAnsi="Arial" w:cs="Arial"/>
                <w:sz w:val="20"/>
                <w:szCs w:val="20"/>
                <w:lang w:eastAsia="es-CO"/>
              </w:rPr>
            </w:pPr>
            <w:r w:rsidRPr="00F6416E">
              <w:rPr>
                <w:rFonts w:ascii="Arial" w:eastAsia="Times New Roman" w:hAnsi="Arial" w:cs="Arial"/>
                <w:sz w:val="20"/>
                <w:szCs w:val="20"/>
                <w:lang w:eastAsia="es-CO"/>
              </w:rPr>
              <w:t>6,1%</w:t>
            </w:r>
          </w:p>
        </w:tc>
        <w:tc>
          <w:tcPr>
            <w:tcW w:w="1220" w:type="dxa"/>
            <w:tcBorders>
              <w:top w:val="nil"/>
              <w:left w:val="nil"/>
              <w:bottom w:val="single" w:sz="4" w:space="0" w:color="auto"/>
              <w:right w:val="single" w:sz="4" w:space="0" w:color="auto"/>
            </w:tcBorders>
            <w:shd w:val="clear" w:color="auto" w:fill="auto"/>
            <w:noWrap/>
            <w:vAlign w:val="bottom"/>
            <w:hideMark/>
          </w:tcPr>
          <w:p w:rsidR="00105248" w:rsidRPr="00F6416E" w:rsidRDefault="00105248" w:rsidP="00E57F8B">
            <w:pPr>
              <w:spacing w:after="0" w:line="240" w:lineRule="auto"/>
              <w:jc w:val="right"/>
              <w:rPr>
                <w:rFonts w:ascii="Arial" w:eastAsia="Times New Roman" w:hAnsi="Arial" w:cs="Arial"/>
                <w:sz w:val="20"/>
                <w:szCs w:val="20"/>
                <w:lang w:eastAsia="es-CO"/>
              </w:rPr>
            </w:pPr>
            <w:r w:rsidRPr="00F6416E">
              <w:rPr>
                <w:rFonts w:ascii="Arial" w:eastAsia="Times New Roman" w:hAnsi="Arial" w:cs="Arial"/>
                <w:sz w:val="20"/>
                <w:szCs w:val="20"/>
                <w:lang w:eastAsia="es-CO"/>
              </w:rPr>
              <w:t>6,0%</w:t>
            </w:r>
          </w:p>
        </w:tc>
        <w:tc>
          <w:tcPr>
            <w:tcW w:w="1200" w:type="dxa"/>
            <w:tcBorders>
              <w:top w:val="nil"/>
              <w:left w:val="nil"/>
              <w:bottom w:val="single" w:sz="4" w:space="0" w:color="auto"/>
              <w:right w:val="single" w:sz="4" w:space="0" w:color="auto"/>
            </w:tcBorders>
            <w:shd w:val="clear" w:color="auto" w:fill="auto"/>
            <w:noWrap/>
            <w:vAlign w:val="bottom"/>
            <w:hideMark/>
          </w:tcPr>
          <w:p w:rsidR="00105248" w:rsidRPr="00F6416E" w:rsidRDefault="00105248" w:rsidP="00E57F8B">
            <w:pPr>
              <w:spacing w:after="0" w:line="240" w:lineRule="auto"/>
              <w:jc w:val="right"/>
              <w:rPr>
                <w:rFonts w:ascii="Arial" w:eastAsia="Times New Roman" w:hAnsi="Arial" w:cs="Arial"/>
                <w:sz w:val="20"/>
                <w:szCs w:val="20"/>
                <w:lang w:eastAsia="es-CO"/>
              </w:rPr>
            </w:pPr>
            <w:r w:rsidRPr="00F6416E">
              <w:rPr>
                <w:rFonts w:ascii="Arial" w:eastAsia="Times New Roman" w:hAnsi="Arial" w:cs="Arial"/>
                <w:sz w:val="20"/>
                <w:szCs w:val="20"/>
                <w:lang w:eastAsia="es-CO"/>
              </w:rPr>
              <w:t>5,6%</w:t>
            </w:r>
          </w:p>
        </w:tc>
        <w:tc>
          <w:tcPr>
            <w:tcW w:w="1340" w:type="dxa"/>
            <w:tcBorders>
              <w:top w:val="nil"/>
              <w:left w:val="nil"/>
              <w:bottom w:val="single" w:sz="4" w:space="0" w:color="auto"/>
              <w:right w:val="single" w:sz="4" w:space="0" w:color="auto"/>
            </w:tcBorders>
            <w:shd w:val="clear" w:color="auto" w:fill="auto"/>
            <w:noWrap/>
            <w:vAlign w:val="bottom"/>
            <w:hideMark/>
          </w:tcPr>
          <w:p w:rsidR="00105248" w:rsidRPr="00F6416E" w:rsidRDefault="00105248" w:rsidP="00E57F8B">
            <w:pPr>
              <w:spacing w:after="0" w:line="240" w:lineRule="auto"/>
              <w:jc w:val="right"/>
              <w:rPr>
                <w:rFonts w:ascii="Arial" w:eastAsia="Times New Roman" w:hAnsi="Arial" w:cs="Arial"/>
                <w:sz w:val="20"/>
                <w:szCs w:val="20"/>
                <w:lang w:eastAsia="es-CO"/>
              </w:rPr>
            </w:pPr>
            <w:r w:rsidRPr="00F6416E">
              <w:rPr>
                <w:rFonts w:ascii="Arial" w:eastAsia="Times New Roman" w:hAnsi="Arial" w:cs="Arial"/>
                <w:sz w:val="20"/>
                <w:szCs w:val="20"/>
                <w:lang w:eastAsia="es-CO"/>
              </w:rPr>
              <w:t>6,1%</w:t>
            </w:r>
          </w:p>
        </w:tc>
        <w:tc>
          <w:tcPr>
            <w:tcW w:w="1300" w:type="dxa"/>
            <w:tcBorders>
              <w:top w:val="nil"/>
              <w:left w:val="nil"/>
              <w:bottom w:val="single" w:sz="4" w:space="0" w:color="auto"/>
              <w:right w:val="single" w:sz="4" w:space="0" w:color="auto"/>
            </w:tcBorders>
            <w:shd w:val="clear" w:color="auto" w:fill="auto"/>
            <w:noWrap/>
            <w:vAlign w:val="bottom"/>
            <w:hideMark/>
          </w:tcPr>
          <w:p w:rsidR="00105248" w:rsidRPr="00F6416E" w:rsidRDefault="00105248" w:rsidP="00E57F8B">
            <w:pPr>
              <w:spacing w:after="0" w:line="240" w:lineRule="auto"/>
              <w:jc w:val="right"/>
              <w:rPr>
                <w:rFonts w:ascii="Arial" w:eastAsia="Times New Roman" w:hAnsi="Arial" w:cs="Arial"/>
                <w:sz w:val="20"/>
                <w:szCs w:val="20"/>
                <w:lang w:eastAsia="es-CO"/>
              </w:rPr>
            </w:pPr>
            <w:r w:rsidRPr="00F6416E">
              <w:rPr>
                <w:rFonts w:ascii="Arial" w:eastAsia="Times New Roman" w:hAnsi="Arial" w:cs="Arial"/>
                <w:sz w:val="20"/>
                <w:szCs w:val="20"/>
                <w:lang w:eastAsia="es-CO"/>
              </w:rPr>
              <w:t>6,2%</w:t>
            </w:r>
          </w:p>
        </w:tc>
      </w:tr>
      <w:tr w:rsidR="00105248" w:rsidRPr="00F6416E" w:rsidTr="00E57F8B">
        <w:trPr>
          <w:trHeight w:val="270"/>
          <w:jc w:val="center"/>
        </w:trPr>
        <w:tc>
          <w:tcPr>
            <w:tcW w:w="3040" w:type="dxa"/>
            <w:tcBorders>
              <w:top w:val="nil"/>
              <w:left w:val="single" w:sz="4" w:space="0" w:color="000000"/>
              <w:bottom w:val="single" w:sz="8" w:space="0" w:color="000000"/>
              <w:right w:val="single" w:sz="8" w:space="0" w:color="000000"/>
            </w:tcBorders>
            <w:shd w:val="clear" w:color="auto" w:fill="auto"/>
            <w:vAlign w:val="center"/>
            <w:hideMark/>
          </w:tcPr>
          <w:p w:rsidR="00105248" w:rsidRPr="00F6416E" w:rsidRDefault="00105248" w:rsidP="00E57F8B">
            <w:pPr>
              <w:spacing w:after="0" w:line="240" w:lineRule="auto"/>
              <w:rPr>
                <w:rFonts w:ascii="Arial" w:eastAsia="Times New Roman" w:hAnsi="Arial" w:cs="Arial"/>
                <w:b/>
                <w:bCs/>
                <w:sz w:val="18"/>
                <w:szCs w:val="18"/>
                <w:lang w:eastAsia="es-CO"/>
              </w:rPr>
            </w:pPr>
            <w:r w:rsidRPr="00F6416E">
              <w:rPr>
                <w:rFonts w:ascii="Arial" w:eastAsia="Times New Roman" w:hAnsi="Arial" w:cs="Arial"/>
                <w:b/>
                <w:bCs/>
                <w:sz w:val="18"/>
                <w:szCs w:val="18"/>
                <w:lang w:eastAsia="es-CO"/>
              </w:rPr>
              <w:t>Propósito General</w:t>
            </w:r>
          </w:p>
        </w:tc>
        <w:tc>
          <w:tcPr>
            <w:tcW w:w="1300" w:type="dxa"/>
            <w:tcBorders>
              <w:top w:val="nil"/>
              <w:left w:val="nil"/>
              <w:bottom w:val="single" w:sz="4" w:space="0" w:color="auto"/>
              <w:right w:val="single" w:sz="4" w:space="0" w:color="auto"/>
            </w:tcBorders>
            <w:shd w:val="clear" w:color="auto" w:fill="auto"/>
            <w:noWrap/>
            <w:vAlign w:val="bottom"/>
            <w:hideMark/>
          </w:tcPr>
          <w:p w:rsidR="00105248" w:rsidRPr="00F6416E" w:rsidRDefault="00105248" w:rsidP="00E57F8B">
            <w:pPr>
              <w:spacing w:after="0" w:line="240" w:lineRule="auto"/>
              <w:jc w:val="right"/>
              <w:rPr>
                <w:rFonts w:ascii="Arial" w:eastAsia="Times New Roman" w:hAnsi="Arial" w:cs="Arial"/>
                <w:sz w:val="20"/>
                <w:szCs w:val="20"/>
                <w:lang w:eastAsia="es-CO"/>
              </w:rPr>
            </w:pPr>
            <w:r w:rsidRPr="00F6416E">
              <w:rPr>
                <w:rFonts w:ascii="Arial" w:eastAsia="Times New Roman" w:hAnsi="Arial" w:cs="Arial"/>
                <w:sz w:val="20"/>
                <w:szCs w:val="20"/>
                <w:lang w:eastAsia="es-CO"/>
              </w:rPr>
              <w:t>11,2%</w:t>
            </w:r>
          </w:p>
        </w:tc>
        <w:tc>
          <w:tcPr>
            <w:tcW w:w="1220" w:type="dxa"/>
            <w:tcBorders>
              <w:top w:val="nil"/>
              <w:left w:val="nil"/>
              <w:bottom w:val="single" w:sz="4" w:space="0" w:color="auto"/>
              <w:right w:val="single" w:sz="4" w:space="0" w:color="auto"/>
            </w:tcBorders>
            <w:shd w:val="clear" w:color="auto" w:fill="auto"/>
            <w:noWrap/>
            <w:vAlign w:val="bottom"/>
            <w:hideMark/>
          </w:tcPr>
          <w:p w:rsidR="00105248" w:rsidRPr="00F6416E" w:rsidRDefault="00105248" w:rsidP="00E57F8B">
            <w:pPr>
              <w:spacing w:after="0" w:line="240" w:lineRule="auto"/>
              <w:jc w:val="right"/>
              <w:rPr>
                <w:rFonts w:ascii="Arial" w:eastAsia="Times New Roman" w:hAnsi="Arial" w:cs="Arial"/>
                <w:sz w:val="20"/>
                <w:szCs w:val="20"/>
                <w:lang w:eastAsia="es-CO"/>
              </w:rPr>
            </w:pPr>
            <w:r w:rsidRPr="00F6416E">
              <w:rPr>
                <w:rFonts w:ascii="Arial" w:eastAsia="Times New Roman" w:hAnsi="Arial" w:cs="Arial"/>
                <w:sz w:val="20"/>
                <w:szCs w:val="20"/>
                <w:lang w:eastAsia="es-CO"/>
              </w:rPr>
              <w:t>11,1%</w:t>
            </w:r>
          </w:p>
        </w:tc>
        <w:tc>
          <w:tcPr>
            <w:tcW w:w="1200" w:type="dxa"/>
            <w:tcBorders>
              <w:top w:val="nil"/>
              <w:left w:val="nil"/>
              <w:bottom w:val="single" w:sz="4" w:space="0" w:color="auto"/>
              <w:right w:val="single" w:sz="4" w:space="0" w:color="auto"/>
            </w:tcBorders>
            <w:shd w:val="clear" w:color="auto" w:fill="auto"/>
            <w:noWrap/>
            <w:vAlign w:val="bottom"/>
            <w:hideMark/>
          </w:tcPr>
          <w:p w:rsidR="00105248" w:rsidRPr="00F6416E" w:rsidRDefault="00105248" w:rsidP="00E57F8B">
            <w:pPr>
              <w:spacing w:after="0" w:line="240" w:lineRule="auto"/>
              <w:jc w:val="right"/>
              <w:rPr>
                <w:rFonts w:ascii="Arial" w:eastAsia="Times New Roman" w:hAnsi="Arial" w:cs="Arial"/>
                <w:sz w:val="20"/>
                <w:szCs w:val="20"/>
                <w:lang w:eastAsia="es-CO"/>
              </w:rPr>
            </w:pPr>
            <w:r w:rsidRPr="00F6416E">
              <w:rPr>
                <w:rFonts w:ascii="Arial" w:eastAsia="Times New Roman" w:hAnsi="Arial" w:cs="Arial"/>
                <w:sz w:val="20"/>
                <w:szCs w:val="20"/>
                <w:lang w:eastAsia="es-CO"/>
              </w:rPr>
              <w:t>11,2%</w:t>
            </w:r>
          </w:p>
        </w:tc>
        <w:tc>
          <w:tcPr>
            <w:tcW w:w="1340" w:type="dxa"/>
            <w:tcBorders>
              <w:top w:val="nil"/>
              <w:left w:val="nil"/>
              <w:bottom w:val="single" w:sz="4" w:space="0" w:color="auto"/>
              <w:right w:val="single" w:sz="4" w:space="0" w:color="auto"/>
            </w:tcBorders>
            <w:shd w:val="clear" w:color="auto" w:fill="auto"/>
            <w:noWrap/>
            <w:vAlign w:val="bottom"/>
            <w:hideMark/>
          </w:tcPr>
          <w:p w:rsidR="00105248" w:rsidRPr="00F6416E" w:rsidRDefault="00105248" w:rsidP="00E57F8B">
            <w:pPr>
              <w:spacing w:after="0" w:line="240" w:lineRule="auto"/>
              <w:jc w:val="right"/>
              <w:rPr>
                <w:rFonts w:ascii="Arial" w:eastAsia="Times New Roman" w:hAnsi="Arial" w:cs="Arial"/>
                <w:sz w:val="20"/>
                <w:szCs w:val="20"/>
                <w:lang w:eastAsia="es-CO"/>
              </w:rPr>
            </w:pPr>
            <w:r w:rsidRPr="00F6416E">
              <w:rPr>
                <w:rFonts w:ascii="Arial" w:eastAsia="Times New Roman" w:hAnsi="Arial" w:cs="Arial"/>
                <w:sz w:val="20"/>
                <w:szCs w:val="20"/>
                <w:lang w:eastAsia="es-CO"/>
              </w:rPr>
              <w:t>11,3%</w:t>
            </w:r>
          </w:p>
        </w:tc>
        <w:tc>
          <w:tcPr>
            <w:tcW w:w="1300" w:type="dxa"/>
            <w:tcBorders>
              <w:top w:val="nil"/>
              <w:left w:val="nil"/>
              <w:bottom w:val="single" w:sz="4" w:space="0" w:color="auto"/>
              <w:right w:val="single" w:sz="4" w:space="0" w:color="auto"/>
            </w:tcBorders>
            <w:shd w:val="clear" w:color="auto" w:fill="auto"/>
            <w:noWrap/>
            <w:vAlign w:val="bottom"/>
            <w:hideMark/>
          </w:tcPr>
          <w:p w:rsidR="00105248" w:rsidRPr="00F6416E" w:rsidRDefault="00105248" w:rsidP="00E57F8B">
            <w:pPr>
              <w:spacing w:after="0" w:line="240" w:lineRule="auto"/>
              <w:jc w:val="right"/>
              <w:rPr>
                <w:rFonts w:ascii="Arial" w:eastAsia="Times New Roman" w:hAnsi="Arial" w:cs="Arial"/>
                <w:sz w:val="20"/>
                <w:szCs w:val="20"/>
                <w:lang w:eastAsia="es-CO"/>
              </w:rPr>
            </w:pPr>
            <w:r w:rsidRPr="00F6416E">
              <w:rPr>
                <w:rFonts w:ascii="Arial" w:eastAsia="Times New Roman" w:hAnsi="Arial" w:cs="Arial"/>
                <w:sz w:val="20"/>
                <w:szCs w:val="20"/>
                <w:lang w:eastAsia="es-CO"/>
              </w:rPr>
              <w:t>12,0%</w:t>
            </w:r>
          </w:p>
        </w:tc>
      </w:tr>
      <w:tr w:rsidR="00105248" w:rsidRPr="00F6416E" w:rsidTr="00E57F8B">
        <w:trPr>
          <w:trHeight w:val="270"/>
          <w:jc w:val="center"/>
        </w:trPr>
        <w:tc>
          <w:tcPr>
            <w:tcW w:w="3040" w:type="dxa"/>
            <w:tcBorders>
              <w:top w:val="nil"/>
              <w:left w:val="single" w:sz="4" w:space="0" w:color="000000"/>
              <w:bottom w:val="single" w:sz="8" w:space="0" w:color="000000"/>
              <w:right w:val="single" w:sz="8" w:space="0" w:color="000000"/>
            </w:tcBorders>
            <w:shd w:val="clear" w:color="auto" w:fill="auto"/>
            <w:vAlign w:val="center"/>
            <w:hideMark/>
          </w:tcPr>
          <w:p w:rsidR="00105248" w:rsidRPr="00F6416E" w:rsidRDefault="00105248" w:rsidP="00E57F8B">
            <w:pPr>
              <w:spacing w:after="0" w:line="240" w:lineRule="auto"/>
              <w:rPr>
                <w:rFonts w:ascii="Arial" w:eastAsia="Times New Roman" w:hAnsi="Arial" w:cs="Arial"/>
                <w:b/>
                <w:bCs/>
                <w:sz w:val="18"/>
                <w:szCs w:val="18"/>
                <w:lang w:eastAsia="es-CO"/>
              </w:rPr>
            </w:pPr>
            <w:r w:rsidRPr="00F6416E">
              <w:rPr>
                <w:rFonts w:ascii="Arial" w:eastAsia="Times New Roman" w:hAnsi="Arial" w:cs="Arial"/>
                <w:b/>
                <w:bCs/>
                <w:sz w:val="18"/>
                <w:szCs w:val="18"/>
                <w:lang w:eastAsia="es-CO"/>
              </w:rPr>
              <w:t>Alimentación Escolar</w:t>
            </w:r>
          </w:p>
        </w:tc>
        <w:tc>
          <w:tcPr>
            <w:tcW w:w="1300" w:type="dxa"/>
            <w:tcBorders>
              <w:top w:val="nil"/>
              <w:left w:val="nil"/>
              <w:bottom w:val="single" w:sz="4" w:space="0" w:color="auto"/>
              <w:right w:val="single" w:sz="4" w:space="0" w:color="auto"/>
            </w:tcBorders>
            <w:shd w:val="clear" w:color="auto" w:fill="auto"/>
            <w:noWrap/>
            <w:vAlign w:val="bottom"/>
            <w:hideMark/>
          </w:tcPr>
          <w:p w:rsidR="00105248" w:rsidRPr="00F6416E" w:rsidRDefault="00105248" w:rsidP="00E57F8B">
            <w:pPr>
              <w:spacing w:after="0" w:line="240" w:lineRule="auto"/>
              <w:jc w:val="right"/>
              <w:rPr>
                <w:rFonts w:ascii="Arial" w:eastAsia="Times New Roman" w:hAnsi="Arial" w:cs="Arial"/>
                <w:sz w:val="20"/>
                <w:szCs w:val="20"/>
                <w:lang w:eastAsia="es-CO"/>
              </w:rPr>
            </w:pPr>
            <w:r w:rsidRPr="00F6416E">
              <w:rPr>
                <w:rFonts w:ascii="Arial" w:eastAsia="Times New Roman" w:hAnsi="Arial" w:cs="Arial"/>
                <w:sz w:val="20"/>
                <w:szCs w:val="20"/>
                <w:lang w:eastAsia="es-CO"/>
              </w:rPr>
              <w:t>0,6%</w:t>
            </w:r>
          </w:p>
        </w:tc>
        <w:tc>
          <w:tcPr>
            <w:tcW w:w="1220" w:type="dxa"/>
            <w:tcBorders>
              <w:top w:val="nil"/>
              <w:left w:val="nil"/>
              <w:bottom w:val="single" w:sz="4" w:space="0" w:color="auto"/>
              <w:right w:val="single" w:sz="4" w:space="0" w:color="auto"/>
            </w:tcBorders>
            <w:shd w:val="clear" w:color="auto" w:fill="auto"/>
            <w:noWrap/>
            <w:vAlign w:val="bottom"/>
            <w:hideMark/>
          </w:tcPr>
          <w:p w:rsidR="00105248" w:rsidRPr="00F6416E" w:rsidRDefault="00105248" w:rsidP="00E57F8B">
            <w:pPr>
              <w:spacing w:after="0" w:line="240" w:lineRule="auto"/>
              <w:jc w:val="right"/>
              <w:rPr>
                <w:rFonts w:ascii="Arial" w:eastAsia="Times New Roman" w:hAnsi="Arial" w:cs="Arial"/>
                <w:sz w:val="20"/>
                <w:szCs w:val="20"/>
                <w:lang w:eastAsia="es-CO"/>
              </w:rPr>
            </w:pPr>
            <w:r w:rsidRPr="00F6416E">
              <w:rPr>
                <w:rFonts w:ascii="Arial" w:eastAsia="Times New Roman" w:hAnsi="Arial" w:cs="Arial"/>
                <w:sz w:val="20"/>
                <w:szCs w:val="20"/>
                <w:lang w:eastAsia="es-CO"/>
              </w:rPr>
              <w:t>0,6%</w:t>
            </w:r>
          </w:p>
        </w:tc>
        <w:tc>
          <w:tcPr>
            <w:tcW w:w="1200" w:type="dxa"/>
            <w:tcBorders>
              <w:top w:val="nil"/>
              <w:left w:val="nil"/>
              <w:bottom w:val="single" w:sz="4" w:space="0" w:color="auto"/>
              <w:right w:val="single" w:sz="4" w:space="0" w:color="auto"/>
            </w:tcBorders>
            <w:shd w:val="clear" w:color="auto" w:fill="auto"/>
            <w:noWrap/>
            <w:vAlign w:val="bottom"/>
            <w:hideMark/>
          </w:tcPr>
          <w:p w:rsidR="00105248" w:rsidRPr="00F6416E" w:rsidRDefault="00105248" w:rsidP="00E57F8B">
            <w:pPr>
              <w:spacing w:after="0" w:line="240" w:lineRule="auto"/>
              <w:jc w:val="right"/>
              <w:rPr>
                <w:rFonts w:ascii="Arial" w:eastAsia="Times New Roman" w:hAnsi="Arial" w:cs="Arial"/>
                <w:sz w:val="20"/>
                <w:szCs w:val="20"/>
                <w:lang w:eastAsia="es-CO"/>
              </w:rPr>
            </w:pPr>
            <w:r w:rsidRPr="00F6416E">
              <w:rPr>
                <w:rFonts w:ascii="Arial" w:eastAsia="Times New Roman" w:hAnsi="Arial" w:cs="Arial"/>
                <w:sz w:val="20"/>
                <w:szCs w:val="20"/>
                <w:lang w:eastAsia="es-CO"/>
              </w:rPr>
              <w:t>0,5%</w:t>
            </w:r>
          </w:p>
        </w:tc>
        <w:tc>
          <w:tcPr>
            <w:tcW w:w="1340" w:type="dxa"/>
            <w:tcBorders>
              <w:top w:val="nil"/>
              <w:left w:val="nil"/>
              <w:bottom w:val="single" w:sz="4" w:space="0" w:color="auto"/>
              <w:right w:val="single" w:sz="4" w:space="0" w:color="auto"/>
            </w:tcBorders>
            <w:shd w:val="clear" w:color="auto" w:fill="auto"/>
            <w:noWrap/>
            <w:vAlign w:val="bottom"/>
            <w:hideMark/>
          </w:tcPr>
          <w:p w:rsidR="00105248" w:rsidRPr="00F6416E" w:rsidRDefault="00105248" w:rsidP="00E57F8B">
            <w:pPr>
              <w:spacing w:after="0" w:line="240" w:lineRule="auto"/>
              <w:jc w:val="right"/>
              <w:rPr>
                <w:rFonts w:ascii="Arial" w:eastAsia="Times New Roman" w:hAnsi="Arial" w:cs="Arial"/>
                <w:sz w:val="20"/>
                <w:szCs w:val="20"/>
                <w:lang w:eastAsia="es-CO"/>
              </w:rPr>
            </w:pPr>
            <w:r w:rsidRPr="00F6416E">
              <w:rPr>
                <w:rFonts w:ascii="Arial" w:eastAsia="Times New Roman" w:hAnsi="Arial" w:cs="Arial"/>
                <w:sz w:val="20"/>
                <w:szCs w:val="20"/>
                <w:lang w:eastAsia="es-CO"/>
              </w:rPr>
              <w:t>0,6%</w:t>
            </w:r>
          </w:p>
        </w:tc>
        <w:tc>
          <w:tcPr>
            <w:tcW w:w="1300" w:type="dxa"/>
            <w:tcBorders>
              <w:top w:val="nil"/>
              <w:left w:val="nil"/>
              <w:bottom w:val="single" w:sz="4" w:space="0" w:color="auto"/>
              <w:right w:val="single" w:sz="4" w:space="0" w:color="auto"/>
            </w:tcBorders>
            <w:shd w:val="clear" w:color="auto" w:fill="auto"/>
            <w:noWrap/>
            <w:vAlign w:val="bottom"/>
            <w:hideMark/>
          </w:tcPr>
          <w:p w:rsidR="00105248" w:rsidRPr="00F6416E" w:rsidRDefault="00105248" w:rsidP="00E57F8B">
            <w:pPr>
              <w:spacing w:after="0" w:line="240" w:lineRule="auto"/>
              <w:jc w:val="right"/>
              <w:rPr>
                <w:rFonts w:ascii="Arial" w:eastAsia="Times New Roman" w:hAnsi="Arial" w:cs="Arial"/>
                <w:sz w:val="20"/>
                <w:szCs w:val="20"/>
                <w:lang w:eastAsia="es-CO"/>
              </w:rPr>
            </w:pPr>
            <w:r w:rsidRPr="00F6416E">
              <w:rPr>
                <w:rFonts w:ascii="Arial" w:eastAsia="Times New Roman" w:hAnsi="Arial" w:cs="Arial"/>
                <w:sz w:val="20"/>
                <w:szCs w:val="20"/>
                <w:lang w:eastAsia="es-CO"/>
              </w:rPr>
              <w:t>0,6%</w:t>
            </w:r>
          </w:p>
        </w:tc>
      </w:tr>
      <w:tr w:rsidR="00105248" w:rsidRPr="00F6416E" w:rsidTr="00E57F8B">
        <w:trPr>
          <w:trHeight w:val="270"/>
          <w:jc w:val="center"/>
        </w:trPr>
        <w:tc>
          <w:tcPr>
            <w:tcW w:w="3040" w:type="dxa"/>
            <w:tcBorders>
              <w:top w:val="nil"/>
              <w:left w:val="single" w:sz="4" w:space="0" w:color="000000"/>
              <w:bottom w:val="single" w:sz="8" w:space="0" w:color="000000"/>
              <w:right w:val="single" w:sz="8" w:space="0" w:color="000000"/>
            </w:tcBorders>
            <w:shd w:val="clear" w:color="auto" w:fill="auto"/>
            <w:vAlign w:val="center"/>
            <w:hideMark/>
          </w:tcPr>
          <w:p w:rsidR="00105248" w:rsidRPr="00F6416E" w:rsidRDefault="00105248" w:rsidP="00E57F8B">
            <w:pPr>
              <w:spacing w:after="0" w:line="240" w:lineRule="auto"/>
              <w:rPr>
                <w:rFonts w:ascii="Arial" w:eastAsia="Times New Roman" w:hAnsi="Arial" w:cs="Arial"/>
                <w:b/>
                <w:bCs/>
                <w:sz w:val="18"/>
                <w:szCs w:val="18"/>
                <w:lang w:eastAsia="es-CO"/>
              </w:rPr>
            </w:pPr>
            <w:r w:rsidRPr="00F6416E">
              <w:rPr>
                <w:rFonts w:ascii="Arial" w:eastAsia="Times New Roman" w:hAnsi="Arial" w:cs="Arial"/>
                <w:b/>
                <w:bCs/>
                <w:sz w:val="18"/>
                <w:szCs w:val="18"/>
                <w:lang w:eastAsia="es-CO"/>
              </w:rPr>
              <w:t>Ribereños</w:t>
            </w:r>
          </w:p>
        </w:tc>
        <w:tc>
          <w:tcPr>
            <w:tcW w:w="1300" w:type="dxa"/>
            <w:tcBorders>
              <w:top w:val="nil"/>
              <w:left w:val="nil"/>
              <w:bottom w:val="single" w:sz="4" w:space="0" w:color="auto"/>
              <w:right w:val="single" w:sz="4" w:space="0" w:color="auto"/>
            </w:tcBorders>
            <w:shd w:val="clear" w:color="auto" w:fill="auto"/>
            <w:noWrap/>
            <w:vAlign w:val="bottom"/>
            <w:hideMark/>
          </w:tcPr>
          <w:p w:rsidR="00105248" w:rsidRPr="00F6416E" w:rsidRDefault="00105248" w:rsidP="00E57F8B">
            <w:pPr>
              <w:spacing w:after="0" w:line="240" w:lineRule="auto"/>
              <w:jc w:val="right"/>
              <w:rPr>
                <w:rFonts w:ascii="Arial" w:eastAsia="Times New Roman" w:hAnsi="Arial" w:cs="Arial"/>
                <w:sz w:val="20"/>
                <w:szCs w:val="20"/>
                <w:lang w:eastAsia="es-CO"/>
              </w:rPr>
            </w:pPr>
            <w:r w:rsidRPr="00F6416E">
              <w:rPr>
                <w:rFonts w:ascii="Arial" w:eastAsia="Times New Roman" w:hAnsi="Arial" w:cs="Arial"/>
                <w:sz w:val="20"/>
                <w:szCs w:val="20"/>
                <w:lang w:eastAsia="es-CO"/>
              </w:rPr>
              <w:t>0,0%</w:t>
            </w:r>
          </w:p>
        </w:tc>
        <w:tc>
          <w:tcPr>
            <w:tcW w:w="1220" w:type="dxa"/>
            <w:tcBorders>
              <w:top w:val="nil"/>
              <w:left w:val="nil"/>
              <w:bottom w:val="single" w:sz="4" w:space="0" w:color="auto"/>
              <w:right w:val="single" w:sz="4" w:space="0" w:color="auto"/>
            </w:tcBorders>
            <w:shd w:val="clear" w:color="auto" w:fill="auto"/>
            <w:noWrap/>
            <w:vAlign w:val="bottom"/>
            <w:hideMark/>
          </w:tcPr>
          <w:p w:rsidR="00105248" w:rsidRPr="00F6416E" w:rsidRDefault="00105248" w:rsidP="00E57F8B">
            <w:pPr>
              <w:spacing w:after="0" w:line="240" w:lineRule="auto"/>
              <w:jc w:val="right"/>
              <w:rPr>
                <w:rFonts w:ascii="Arial" w:eastAsia="Times New Roman" w:hAnsi="Arial" w:cs="Arial"/>
                <w:sz w:val="20"/>
                <w:szCs w:val="20"/>
                <w:lang w:eastAsia="es-CO"/>
              </w:rPr>
            </w:pPr>
            <w:r w:rsidRPr="00F6416E">
              <w:rPr>
                <w:rFonts w:ascii="Arial" w:eastAsia="Times New Roman" w:hAnsi="Arial" w:cs="Arial"/>
                <w:sz w:val="20"/>
                <w:szCs w:val="20"/>
                <w:lang w:eastAsia="es-CO"/>
              </w:rPr>
              <w:t>0,0%</w:t>
            </w:r>
          </w:p>
        </w:tc>
        <w:tc>
          <w:tcPr>
            <w:tcW w:w="1200" w:type="dxa"/>
            <w:tcBorders>
              <w:top w:val="nil"/>
              <w:left w:val="nil"/>
              <w:bottom w:val="single" w:sz="4" w:space="0" w:color="auto"/>
              <w:right w:val="single" w:sz="4" w:space="0" w:color="auto"/>
            </w:tcBorders>
            <w:shd w:val="clear" w:color="auto" w:fill="auto"/>
            <w:noWrap/>
            <w:vAlign w:val="bottom"/>
            <w:hideMark/>
          </w:tcPr>
          <w:p w:rsidR="00105248" w:rsidRPr="00F6416E" w:rsidRDefault="00105248" w:rsidP="00E57F8B">
            <w:pPr>
              <w:spacing w:after="0" w:line="240" w:lineRule="auto"/>
              <w:jc w:val="right"/>
              <w:rPr>
                <w:rFonts w:ascii="Arial" w:eastAsia="Times New Roman" w:hAnsi="Arial" w:cs="Arial"/>
                <w:sz w:val="20"/>
                <w:szCs w:val="20"/>
                <w:lang w:eastAsia="es-CO"/>
              </w:rPr>
            </w:pPr>
            <w:r w:rsidRPr="00F6416E">
              <w:rPr>
                <w:rFonts w:ascii="Arial" w:eastAsia="Times New Roman" w:hAnsi="Arial" w:cs="Arial"/>
                <w:sz w:val="20"/>
                <w:szCs w:val="20"/>
                <w:lang w:eastAsia="es-CO"/>
              </w:rPr>
              <w:t>0,0%</w:t>
            </w:r>
          </w:p>
        </w:tc>
        <w:tc>
          <w:tcPr>
            <w:tcW w:w="1340" w:type="dxa"/>
            <w:tcBorders>
              <w:top w:val="nil"/>
              <w:left w:val="nil"/>
              <w:bottom w:val="single" w:sz="4" w:space="0" w:color="auto"/>
              <w:right w:val="single" w:sz="4" w:space="0" w:color="auto"/>
            </w:tcBorders>
            <w:shd w:val="clear" w:color="auto" w:fill="auto"/>
            <w:noWrap/>
            <w:vAlign w:val="bottom"/>
            <w:hideMark/>
          </w:tcPr>
          <w:p w:rsidR="00105248" w:rsidRPr="00F6416E" w:rsidRDefault="00105248" w:rsidP="00E57F8B">
            <w:pPr>
              <w:spacing w:after="0" w:line="240" w:lineRule="auto"/>
              <w:jc w:val="right"/>
              <w:rPr>
                <w:rFonts w:ascii="Arial" w:eastAsia="Times New Roman" w:hAnsi="Arial" w:cs="Arial"/>
                <w:sz w:val="20"/>
                <w:szCs w:val="20"/>
                <w:lang w:eastAsia="es-CO"/>
              </w:rPr>
            </w:pPr>
            <w:r w:rsidRPr="00F6416E">
              <w:rPr>
                <w:rFonts w:ascii="Arial" w:eastAsia="Times New Roman" w:hAnsi="Arial" w:cs="Arial"/>
                <w:sz w:val="20"/>
                <w:szCs w:val="20"/>
                <w:lang w:eastAsia="es-CO"/>
              </w:rPr>
              <w:t>0,0%</w:t>
            </w:r>
          </w:p>
        </w:tc>
        <w:tc>
          <w:tcPr>
            <w:tcW w:w="1300" w:type="dxa"/>
            <w:tcBorders>
              <w:top w:val="nil"/>
              <w:left w:val="nil"/>
              <w:bottom w:val="single" w:sz="4" w:space="0" w:color="auto"/>
              <w:right w:val="single" w:sz="4" w:space="0" w:color="auto"/>
            </w:tcBorders>
            <w:shd w:val="clear" w:color="auto" w:fill="auto"/>
            <w:noWrap/>
            <w:vAlign w:val="bottom"/>
            <w:hideMark/>
          </w:tcPr>
          <w:p w:rsidR="00105248" w:rsidRPr="00F6416E" w:rsidRDefault="00105248" w:rsidP="00E57F8B">
            <w:pPr>
              <w:spacing w:after="0" w:line="240" w:lineRule="auto"/>
              <w:jc w:val="right"/>
              <w:rPr>
                <w:rFonts w:ascii="Arial" w:eastAsia="Times New Roman" w:hAnsi="Arial" w:cs="Arial"/>
                <w:sz w:val="20"/>
                <w:szCs w:val="20"/>
                <w:lang w:eastAsia="es-CO"/>
              </w:rPr>
            </w:pPr>
            <w:r w:rsidRPr="00F6416E">
              <w:rPr>
                <w:rFonts w:ascii="Arial" w:eastAsia="Times New Roman" w:hAnsi="Arial" w:cs="Arial"/>
                <w:sz w:val="20"/>
                <w:szCs w:val="20"/>
                <w:lang w:eastAsia="es-CO"/>
              </w:rPr>
              <w:t>0,0%</w:t>
            </w:r>
          </w:p>
        </w:tc>
      </w:tr>
      <w:tr w:rsidR="00105248" w:rsidRPr="00F6416E" w:rsidTr="00E57F8B">
        <w:trPr>
          <w:trHeight w:val="270"/>
          <w:jc w:val="center"/>
        </w:trPr>
        <w:tc>
          <w:tcPr>
            <w:tcW w:w="3040" w:type="dxa"/>
            <w:tcBorders>
              <w:top w:val="nil"/>
              <w:left w:val="single" w:sz="4" w:space="0" w:color="000000"/>
              <w:bottom w:val="single" w:sz="8" w:space="0" w:color="000000"/>
              <w:right w:val="single" w:sz="8" w:space="0" w:color="000000"/>
            </w:tcBorders>
            <w:shd w:val="clear" w:color="auto" w:fill="auto"/>
            <w:vAlign w:val="center"/>
            <w:hideMark/>
          </w:tcPr>
          <w:p w:rsidR="00105248" w:rsidRPr="00F6416E" w:rsidRDefault="00105248" w:rsidP="00E57F8B">
            <w:pPr>
              <w:spacing w:after="0" w:line="240" w:lineRule="auto"/>
              <w:rPr>
                <w:rFonts w:ascii="Arial" w:eastAsia="Times New Roman" w:hAnsi="Arial" w:cs="Arial"/>
                <w:b/>
                <w:bCs/>
                <w:sz w:val="18"/>
                <w:szCs w:val="18"/>
                <w:lang w:eastAsia="es-CO"/>
              </w:rPr>
            </w:pPr>
            <w:r w:rsidRPr="00F6416E">
              <w:rPr>
                <w:rFonts w:ascii="Arial" w:eastAsia="Times New Roman" w:hAnsi="Arial" w:cs="Arial"/>
                <w:b/>
                <w:bCs/>
                <w:sz w:val="18"/>
                <w:szCs w:val="18"/>
                <w:lang w:eastAsia="es-CO"/>
              </w:rPr>
              <w:t>Resguardos Indígenas</w:t>
            </w:r>
          </w:p>
        </w:tc>
        <w:tc>
          <w:tcPr>
            <w:tcW w:w="1300" w:type="dxa"/>
            <w:tcBorders>
              <w:top w:val="nil"/>
              <w:left w:val="nil"/>
              <w:bottom w:val="single" w:sz="4" w:space="0" w:color="auto"/>
              <w:right w:val="single" w:sz="4" w:space="0" w:color="auto"/>
            </w:tcBorders>
            <w:shd w:val="clear" w:color="auto" w:fill="auto"/>
            <w:noWrap/>
            <w:vAlign w:val="bottom"/>
            <w:hideMark/>
          </w:tcPr>
          <w:p w:rsidR="00105248" w:rsidRPr="00F6416E" w:rsidRDefault="00105248" w:rsidP="00E57F8B">
            <w:pPr>
              <w:spacing w:after="0" w:line="240" w:lineRule="auto"/>
              <w:jc w:val="right"/>
              <w:rPr>
                <w:rFonts w:ascii="Arial" w:eastAsia="Times New Roman" w:hAnsi="Arial" w:cs="Arial"/>
                <w:sz w:val="20"/>
                <w:szCs w:val="20"/>
                <w:lang w:eastAsia="es-CO"/>
              </w:rPr>
            </w:pPr>
            <w:r w:rsidRPr="00F6416E">
              <w:rPr>
                <w:rFonts w:ascii="Arial" w:eastAsia="Times New Roman" w:hAnsi="Arial" w:cs="Arial"/>
                <w:sz w:val="20"/>
                <w:szCs w:val="20"/>
                <w:lang w:eastAsia="es-CO"/>
              </w:rPr>
              <w:t>0,3%</w:t>
            </w:r>
          </w:p>
        </w:tc>
        <w:tc>
          <w:tcPr>
            <w:tcW w:w="1220" w:type="dxa"/>
            <w:tcBorders>
              <w:top w:val="nil"/>
              <w:left w:val="nil"/>
              <w:bottom w:val="single" w:sz="4" w:space="0" w:color="auto"/>
              <w:right w:val="single" w:sz="4" w:space="0" w:color="auto"/>
            </w:tcBorders>
            <w:shd w:val="clear" w:color="auto" w:fill="auto"/>
            <w:noWrap/>
            <w:vAlign w:val="bottom"/>
            <w:hideMark/>
          </w:tcPr>
          <w:p w:rsidR="00105248" w:rsidRPr="00F6416E" w:rsidRDefault="00105248" w:rsidP="00E57F8B">
            <w:pPr>
              <w:spacing w:after="0" w:line="240" w:lineRule="auto"/>
              <w:jc w:val="right"/>
              <w:rPr>
                <w:rFonts w:ascii="Arial" w:eastAsia="Times New Roman" w:hAnsi="Arial" w:cs="Arial"/>
                <w:sz w:val="20"/>
                <w:szCs w:val="20"/>
                <w:lang w:eastAsia="es-CO"/>
              </w:rPr>
            </w:pPr>
            <w:r w:rsidRPr="00F6416E">
              <w:rPr>
                <w:rFonts w:ascii="Arial" w:eastAsia="Times New Roman" w:hAnsi="Arial" w:cs="Arial"/>
                <w:sz w:val="20"/>
                <w:szCs w:val="20"/>
                <w:lang w:eastAsia="es-CO"/>
              </w:rPr>
              <w:t>0,3%</w:t>
            </w:r>
          </w:p>
        </w:tc>
        <w:tc>
          <w:tcPr>
            <w:tcW w:w="1200" w:type="dxa"/>
            <w:tcBorders>
              <w:top w:val="nil"/>
              <w:left w:val="nil"/>
              <w:bottom w:val="single" w:sz="4" w:space="0" w:color="auto"/>
              <w:right w:val="single" w:sz="4" w:space="0" w:color="auto"/>
            </w:tcBorders>
            <w:shd w:val="clear" w:color="auto" w:fill="auto"/>
            <w:noWrap/>
            <w:vAlign w:val="bottom"/>
            <w:hideMark/>
          </w:tcPr>
          <w:p w:rsidR="00105248" w:rsidRPr="00F6416E" w:rsidRDefault="00105248" w:rsidP="00E57F8B">
            <w:pPr>
              <w:spacing w:after="0" w:line="240" w:lineRule="auto"/>
              <w:jc w:val="right"/>
              <w:rPr>
                <w:rFonts w:ascii="Arial" w:eastAsia="Times New Roman" w:hAnsi="Arial" w:cs="Arial"/>
                <w:sz w:val="20"/>
                <w:szCs w:val="20"/>
                <w:lang w:eastAsia="es-CO"/>
              </w:rPr>
            </w:pPr>
            <w:r w:rsidRPr="00F6416E">
              <w:rPr>
                <w:rFonts w:ascii="Arial" w:eastAsia="Times New Roman" w:hAnsi="Arial" w:cs="Arial"/>
                <w:sz w:val="20"/>
                <w:szCs w:val="20"/>
                <w:lang w:eastAsia="es-CO"/>
              </w:rPr>
              <w:t>0,3%</w:t>
            </w:r>
          </w:p>
        </w:tc>
        <w:tc>
          <w:tcPr>
            <w:tcW w:w="1340" w:type="dxa"/>
            <w:tcBorders>
              <w:top w:val="nil"/>
              <w:left w:val="nil"/>
              <w:bottom w:val="single" w:sz="4" w:space="0" w:color="auto"/>
              <w:right w:val="single" w:sz="4" w:space="0" w:color="auto"/>
            </w:tcBorders>
            <w:shd w:val="clear" w:color="auto" w:fill="auto"/>
            <w:noWrap/>
            <w:vAlign w:val="bottom"/>
            <w:hideMark/>
          </w:tcPr>
          <w:p w:rsidR="00105248" w:rsidRPr="00F6416E" w:rsidRDefault="00105248" w:rsidP="00E57F8B">
            <w:pPr>
              <w:spacing w:after="0" w:line="240" w:lineRule="auto"/>
              <w:jc w:val="right"/>
              <w:rPr>
                <w:rFonts w:ascii="Arial" w:eastAsia="Times New Roman" w:hAnsi="Arial" w:cs="Arial"/>
                <w:sz w:val="20"/>
                <w:szCs w:val="20"/>
                <w:lang w:eastAsia="es-CO"/>
              </w:rPr>
            </w:pPr>
            <w:r w:rsidRPr="00F6416E">
              <w:rPr>
                <w:rFonts w:ascii="Arial" w:eastAsia="Times New Roman" w:hAnsi="Arial" w:cs="Arial"/>
                <w:sz w:val="20"/>
                <w:szCs w:val="20"/>
                <w:lang w:eastAsia="es-CO"/>
              </w:rPr>
              <w:t>0,3%</w:t>
            </w:r>
          </w:p>
        </w:tc>
        <w:tc>
          <w:tcPr>
            <w:tcW w:w="1300" w:type="dxa"/>
            <w:tcBorders>
              <w:top w:val="nil"/>
              <w:left w:val="nil"/>
              <w:bottom w:val="single" w:sz="4" w:space="0" w:color="auto"/>
              <w:right w:val="single" w:sz="4" w:space="0" w:color="auto"/>
            </w:tcBorders>
            <w:shd w:val="clear" w:color="auto" w:fill="auto"/>
            <w:noWrap/>
            <w:vAlign w:val="bottom"/>
            <w:hideMark/>
          </w:tcPr>
          <w:p w:rsidR="00105248" w:rsidRPr="00F6416E" w:rsidRDefault="00105248" w:rsidP="00E57F8B">
            <w:pPr>
              <w:spacing w:after="0" w:line="240" w:lineRule="auto"/>
              <w:jc w:val="right"/>
              <w:rPr>
                <w:rFonts w:ascii="Arial" w:eastAsia="Times New Roman" w:hAnsi="Arial" w:cs="Arial"/>
                <w:sz w:val="20"/>
                <w:szCs w:val="20"/>
                <w:lang w:eastAsia="es-CO"/>
              </w:rPr>
            </w:pPr>
            <w:r w:rsidRPr="00F6416E">
              <w:rPr>
                <w:rFonts w:ascii="Arial" w:eastAsia="Times New Roman" w:hAnsi="Arial" w:cs="Arial"/>
                <w:sz w:val="20"/>
                <w:szCs w:val="20"/>
                <w:lang w:eastAsia="es-CO"/>
              </w:rPr>
              <w:t>0,3%</w:t>
            </w:r>
          </w:p>
        </w:tc>
      </w:tr>
      <w:tr w:rsidR="00105248" w:rsidRPr="00F6416E" w:rsidTr="00E57F8B">
        <w:trPr>
          <w:trHeight w:val="270"/>
          <w:jc w:val="center"/>
        </w:trPr>
        <w:tc>
          <w:tcPr>
            <w:tcW w:w="3040" w:type="dxa"/>
            <w:tcBorders>
              <w:top w:val="nil"/>
              <w:left w:val="single" w:sz="4" w:space="0" w:color="000000"/>
              <w:bottom w:val="single" w:sz="8" w:space="0" w:color="000000"/>
              <w:right w:val="single" w:sz="8" w:space="0" w:color="000000"/>
            </w:tcBorders>
            <w:shd w:val="clear" w:color="auto" w:fill="auto"/>
            <w:vAlign w:val="center"/>
            <w:hideMark/>
          </w:tcPr>
          <w:p w:rsidR="00105248" w:rsidRPr="00F6416E" w:rsidRDefault="00105248" w:rsidP="00E57F8B">
            <w:pPr>
              <w:spacing w:after="0" w:line="240" w:lineRule="auto"/>
              <w:rPr>
                <w:rFonts w:ascii="Arial" w:eastAsia="Times New Roman" w:hAnsi="Arial" w:cs="Arial"/>
                <w:b/>
                <w:bCs/>
                <w:sz w:val="18"/>
                <w:szCs w:val="18"/>
                <w:lang w:eastAsia="es-CO"/>
              </w:rPr>
            </w:pPr>
            <w:r w:rsidRPr="00F6416E">
              <w:rPr>
                <w:rFonts w:ascii="Arial" w:eastAsia="Times New Roman" w:hAnsi="Arial" w:cs="Arial"/>
                <w:b/>
                <w:bCs/>
                <w:sz w:val="18"/>
                <w:szCs w:val="18"/>
                <w:lang w:eastAsia="es-CO"/>
              </w:rPr>
              <w:t>Fonpet Asignaciones Especiales</w:t>
            </w:r>
          </w:p>
        </w:tc>
        <w:tc>
          <w:tcPr>
            <w:tcW w:w="1300" w:type="dxa"/>
            <w:tcBorders>
              <w:top w:val="nil"/>
              <w:left w:val="nil"/>
              <w:bottom w:val="single" w:sz="4" w:space="0" w:color="auto"/>
              <w:right w:val="single" w:sz="4" w:space="0" w:color="auto"/>
            </w:tcBorders>
            <w:shd w:val="clear" w:color="auto" w:fill="auto"/>
            <w:noWrap/>
            <w:vAlign w:val="bottom"/>
            <w:hideMark/>
          </w:tcPr>
          <w:p w:rsidR="00105248" w:rsidRPr="00F6416E" w:rsidRDefault="00105248" w:rsidP="00E57F8B">
            <w:pPr>
              <w:spacing w:after="0" w:line="240" w:lineRule="auto"/>
              <w:jc w:val="right"/>
              <w:rPr>
                <w:rFonts w:ascii="Arial" w:eastAsia="Times New Roman" w:hAnsi="Arial" w:cs="Arial"/>
                <w:sz w:val="20"/>
                <w:szCs w:val="20"/>
                <w:lang w:eastAsia="es-CO"/>
              </w:rPr>
            </w:pPr>
            <w:r w:rsidRPr="00F6416E">
              <w:rPr>
                <w:rFonts w:ascii="Arial" w:eastAsia="Times New Roman" w:hAnsi="Arial" w:cs="Arial"/>
                <w:sz w:val="20"/>
                <w:szCs w:val="20"/>
                <w:lang w:eastAsia="es-CO"/>
              </w:rPr>
              <w:t>2,9%</w:t>
            </w:r>
          </w:p>
        </w:tc>
        <w:tc>
          <w:tcPr>
            <w:tcW w:w="1220" w:type="dxa"/>
            <w:tcBorders>
              <w:top w:val="nil"/>
              <w:left w:val="nil"/>
              <w:bottom w:val="single" w:sz="4" w:space="0" w:color="auto"/>
              <w:right w:val="single" w:sz="4" w:space="0" w:color="auto"/>
            </w:tcBorders>
            <w:shd w:val="clear" w:color="auto" w:fill="auto"/>
            <w:noWrap/>
            <w:vAlign w:val="bottom"/>
            <w:hideMark/>
          </w:tcPr>
          <w:p w:rsidR="00105248" w:rsidRPr="00F6416E" w:rsidRDefault="00105248" w:rsidP="00E57F8B">
            <w:pPr>
              <w:spacing w:after="0" w:line="240" w:lineRule="auto"/>
              <w:jc w:val="right"/>
              <w:rPr>
                <w:rFonts w:ascii="Arial" w:eastAsia="Times New Roman" w:hAnsi="Arial" w:cs="Arial"/>
                <w:sz w:val="20"/>
                <w:szCs w:val="20"/>
                <w:lang w:eastAsia="es-CO"/>
              </w:rPr>
            </w:pPr>
            <w:r w:rsidRPr="00F6416E">
              <w:rPr>
                <w:rFonts w:ascii="Arial" w:eastAsia="Times New Roman" w:hAnsi="Arial" w:cs="Arial"/>
                <w:sz w:val="20"/>
                <w:szCs w:val="20"/>
                <w:lang w:eastAsia="es-CO"/>
              </w:rPr>
              <w:t>3,1%</w:t>
            </w:r>
          </w:p>
        </w:tc>
        <w:tc>
          <w:tcPr>
            <w:tcW w:w="1200" w:type="dxa"/>
            <w:tcBorders>
              <w:top w:val="nil"/>
              <w:left w:val="nil"/>
              <w:bottom w:val="single" w:sz="4" w:space="0" w:color="auto"/>
              <w:right w:val="single" w:sz="4" w:space="0" w:color="auto"/>
            </w:tcBorders>
            <w:shd w:val="clear" w:color="auto" w:fill="auto"/>
            <w:noWrap/>
            <w:vAlign w:val="bottom"/>
            <w:hideMark/>
          </w:tcPr>
          <w:p w:rsidR="00105248" w:rsidRPr="00F6416E" w:rsidRDefault="00105248" w:rsidP="00E57F8B">
            <w:pPr>
              <w:spacing w:after="0" w:line="240" w:lineRule="auto"/>
              <w:jc w:val="right"/>
              <w:rPr>
                <w:rFonts w:ascii="Arial" w:eastAsia="Times New Roman" w:hAnsi="Arial" w:cs="Arial"/>
                <w:sz w:val="20"/>
                <w:szCs w:val="20"/>
                <w:lang w:eastAsia="es-CO"/>
              </w:rPr>
            </w:pPr>
            <w:r w:rsidRPr="00F6416E">
              <w:rPr>
                <w:rFonts w:ascii="Arial" w:eastAsia="Times New Roman" w:hAnsi="Arial" w:cs="Arial"/>
                <w:sz w:val="20"/>
                <w:szCs w:val="20"/>
                <w:lang w:eastAsia="es-CO"/>
              </w:rPr>
              <w:t>1,8%</w:t>
            </w:r>
          </w:p>
        </w:tc>
        <w:tc>
          <w:tcPr>
            <w:tcW w:w="1340" w:type="dxa"/>
            <w:tcBorders>
              <w:top w:val="nil"/>
              <w:left w:val="nil"/>
              <w:bottom w:val="single" w:sz="4" w:space="0" w:color="auto"/>
              <w:right w:val="single" w:sz="4" w:space="0" w:color="auto"/>
            </w:tcBorders>
            <w:shd w:val="clear" w:color="auto" w:fill="auto"/>
            <w:noWrap/>
            <w:vAlign w:val="bottom"/>
            <w:hideMark/>
          </w:tcPr>
          <w:p w:rsidR="00105248" w:rsidRPr="00F6416E" w:rsidRDefault="00105248" w:rsidP="00E57F8B">
            <w:pPr>
              <w:spacing w:after="0" w:line="240" w:lineRule="auto"/>
              <w:jc w:val="right"/>
              <w:rPr>
                <w:rFonts w:ascii="Arial" w:eastAsia="Times New Roman" w:hAnsi="Arial" w:cs="Arial"/>
                <w:sz w:val="20"/>
                <w:szCs w:val="20"/>
                <w:lang w:eastAsia="es-CO"/>
              </w:rPr>
            </w:pPr>
            <w:r w:rsidRPr="00F6416E">
              <w:rPr>
                <w:rFonts w:ascii="Arial" w:eastAsia="Times New Roman" w:hAnsi="Arial" w:cs="Arial"/>
                <w:sz w:val="20"/>
                <w:szCs w:val="20"/>
                <w:lang w:eastAsia="es-CO"/>
              </w:rPr>
              <w:t>0,0%</w:t>
            </w:r>
          </w:p>
        </w:tc>
        <w:tc>
          <w:tcPr>
            <w:tcW w:w="1300" w:type="dxa"/>
            <w:tcBorders>
              <w:top w:val="nil"/>
              <w:left w:val="nil"/>
              <w:bottom w:val="single" w:sz="4" w:space="0" w:color="auto"/>
              <w:right w:val="single" w:sz="4" w:space="0" w:color="auto"/>
            </w:tcBorders>
            <w:shd w:val="clear" w:color="auto" w:fill="auto"/>
            <w:noWrap/>
            <w:vAlign w:val="bottom"/>
            <w:hideMark/>
          </w:tcPr>
          <w:p w:rsidR="00105248" w:rsidRPr="00F6416E" w:rsidRDefault="00105248" w:rsidP="00E57F8B">
            <w:pPr>
              <w:spacing w:after="0" w:line="240" w:lineRule="auto"/>
              <w:jc w:val="right"/>
              <w:rPr>
                <w:rFonts w:ascii="Arial" w:eastAsia="Times New Roman" w:hAnsi="Arial" w:cs="Arial"/>
                <w:sz w:val="20"/>
                <w:szCs w:val="20"/>
                <w:lang w:eastAsia="es-CO"/>
              </w:rPr>
            </w:pPr>
            <w:r w:rsidRPr="00F6416E">
              <w:rPr>
                <w:rFonts w:ascii="Arial" w:eastAsia="Times New Roman" w:hAnsi="Arial" w:cs="Arial"/>
                <w:sz w:val="20"/>
                <w:szCs w:val="20"/>
                <w:lang w:eastAsia="es-CO"/>
              </w:rPr>
              <w:t>0,0%</w:t>
            </w:r>
          </w:p>
        </w:tc>
      </w:tr>
      <w:tr w:rsidR="00105248" w:rsidRPr="00F6416E" w:rsidTr="00E57F8B">
        <w:trPr>
          <w:trHeight w:val="270"/>
          <w:jc w:val="center"/>
        </w:trPr>
        <w:tc>
          <w:tcPr>
            <w:tcW w:w="3040" w:type="dxa"/>
            <w:tcBorders>
              <w:top w:val="nil"/>
              <w:left w:val="single" w:sz="4" w:space="0" w:color="000000"/>
              <w:bottom w:val="single" w:sz="8" w:space="0" w:color="000000"/>
              <w:right w:val="single" w:sz="8" w:space="0" w:color="000000"/>
            </w:tcBorders>
            <w:shd w:val="clear" w:color="auto" w:fill="auto"/>
            <w:vAlign w:val="center"/>
            <w:hideMark/>
          </w:tcPr>
          <w:p w:rsidR="00105248" w:rsidRPr="00F6416E" w:rsidRDefault="00105248" w:rsidP="00E57F8B">
            <w:pPr>
              <w:spacing w:after="0" w:line="240" w:lineRule="auto"/>
              <w:rPr>
                <w:rFonts w:ascii="Arial" w:eastAsia="Times New Roman" w:hAnsi="Arial" w:cs="Arial"/>
                <w:b/>
                <w:bCs/>
                <w:sz w:val="18"/>
                <w:szCs w:val="18"/>
                <w:lang w:eastAsia="es-CO"/>
              </w:rPr>
            </w:pPr>
            <w:r w:rsidRPr="00F6416E">
              <w:rPr>
                <w:rFonts w:ascii="Arial" w:eastAsia="Times New Roman" w:hAnsi="Arial" w:cs="Arial"/>
                <w:b/>
                <w:bCs/>
                <w:sz w:val="18"/>
                <w:szCs w:val="18"/>
                <w:lang w:eastAsia="es-CO"/>
              </w:rPr>
              <w:t>Primera Infancia</w:t>
            </w:r>
          </w:p>
        </w:tc>
        <w:tc>
          <w:tcPr>
            <w:tcW w:w="1300" w:type="dxa"/>
            <w:tcBorders>
              <w:top w:val="nil"/>
              <w:left w:val="nil"/>
              <w:bottom w:val="single" w:sz="4" w:space="0" w:color="auto"/>
              <w:right w:val="single" w:sz="4" w:space="0" w:color="auto"/>
            </w:tcBorders>
            <w:shd w:val="clear" w:color="auto" w:fill="auto"/>
            <w:noWrap/>
            <w:vAlign w:val="bottom"/>
            <w:hideMark/>
          </w:tcPr>
          <w:p w:rsidR="00105248" w:rsidRPr="00F6416E" w:rsidRDefault="00105248" w:rsidP="00E57F8B">
            <w:pPr>
              <w:spacing w:after="0" w:line="240" w:lineRule="auto"/>
              <w:jc w:val="right"/>
              <w:rPr>
                <w:rFonts w:ascii="Arial" w:eastAsia="Times New Roman" w:hAnsi="Arial" w:cs="Arial"/>
                <w:sz w:val="20"/>
                <w:szCs w:val="20"/>
                <w:lang w:eastAsia="es-CO"/>
              </w:rPr>
            </w:pPr>
            <w:r w:rsidRPr="00F6416E">
              <w:rPr>
                <w:rFonts w:ascii="Arial" w:eastAsia="Times New Roman" w:hAnsi="Arial" w:cs="Arial"/>
                <w:sz w:val="20"/>
                <w:szCs w:val="20"/>
                <w:lang w:eastAsia="es-CO"/>
              </w:rPr>
              <w:t>0,7%</w:t>
            </w:r>
          </w:p>
        </w:tc>
        <w:tc>
          <w:tcPr>
            <w:tcW w:w="1220" w:type="dxa"/>
            <w:tcBorders>
              <w:top w:val="nil"/>
              <w:left w:val="nil"/>
              <w:bottom w:val="single" w:sz="4" w:space="0" w:color="auto"/>
              <w:right w:val="single" w:sz="4" w:space="0" w:color="auto"/>
            </w:tcBorders>
            <w:shd w:val="clear" w:color="auto" w:fill="auto"/>
            <w:noWrap/>
            <w:vAlign w:val="bottom"/>
            <w:hideMark/>
          </w:tcPr>
          <w:p w:rsidR="00105248" w:rsidRPr="00F6416E" w:rsidRDefault="00105248" w:rsidP="00E57F8B">
            <w:pPr>
              <w:spacing w:after="0" w:line="240" w:lineRule="auto"/>
              <w:jc w:val="right"/>
              <w:rPr>
                <w:rFonts w:ascii="Arial" w:eastAsia="Times New Roman" w:hAnsi="Arial" w:cs="Arial"/>
                <w:sz w:val="20"/>
                <w:szCs w:val="20"/>
                <w:lang w:eastAsia="es-CO"/>
              </w:rPr>
            </w:pPr>
            <w:r w:rsidRPr="00F6416E">
              <w:rPr>
                <w:rFonts w:ascii="Arial" w:eastAsia="Times New Roman" w:hAnsi="Arial" w:cs="Arial"/>
                <w:sz w:val="20"/>
                <w:szCs w:val="20"/>
                <w:lang w:eastAsia="es-CO"/>
              </w:rPr>
              <w:t>0,6%</w:t>
            </w:r>
          </w:p>
        </w:tc>
        <w:tc>
          <w:tcPr>
            <w:tcW w:w="1200" w:type="dxa"/>
            <w:tcBorders>
              <w:top w:val="nil"/>
              <w:left w:val="nil"/>
              <w:bottom w:val="single" w:sz="4" w:space="0" w:color="auto"/>
              <w:right w:val="single" w:sz="4" w:space="0" w:color="auto"/>
            </w:tcBorders>
            <w:shd w:val="clear" w:color="auto" w:fill="auto"/>
            <w:noWrap/>
            <w:vAlign w:val="bottom"/>
            <w:hideMark/>
          </w:tcPr>
          <w:p w:rsidR="00105248" w:rsidRPr="00F6416E" w:rsidRDefault="00105248" w:rsidP="00E57F8B">
            <w:pPr>
              <w:spacing w:after="0" w:line="240" w:lineRule="auto"/>
              <w:jc w:val="right"/>
              <w:rPr>
                <w:rFonts w:ascii="Arial" w:eastAsia="Times New Roman" w:hAnsi="Arial" w:cs="Arial"/>
                <w:sz w:val="20"/>
                <w:szCs w:val="20"/>
                <w:lang w:eastAsia="es-CO"/>
              </w:rPr>
            </w:pPr>
            <w:r w:rsidRPr="00F6416E">
              <w:rPr>
                <w:rFonts w:ascii="Arial" w:eastAsia="Times New Roman" w:hAnsi="Arial" w:cs="Arial"/>
                <w:sz w:val="20"/>
                <w:szCs w:val="20"/>
                <w:lang w:eastAsia="es-CO"/>
              </w:rPr>
              <w:t>0,6%</w:t>
            </w:r>
          </w:p>
        </w:tc>
        <w:tc>
          <w:tcPr>
            <w:tcW w:w="1340" w:type="dxa"/>
            <w:tcBorders>
              <w:top w:val="nil"/>
              <w:left w:val="nil"/>
              <w:bottom w:val="single" w:sz="4" w:space="0" w:color="auto"/>
              <w:right w:val="single" w:sz="4" w:space="0" w:color="auto"/>
            </w:tcBorders>
            <w:shd w:val="clear" w:color="auto" w:fill="auto"/>
            <w:noWrap/>
            <w:vAlign w:val="bottom"/>
            <w:hideMark/>
          </w:tcPr>
          <w:p w:rsidR="00105248" w:rsidRPr="00F6416E" w:rsidRDefault="00105248" w:rsidP="00E57F8B">
            <w:pPr>
              <w:spacing w:after="0" w:line="240" w:lineRule="auto"/>
              <w:jc w:val="right"/>
              <w:rPr>
                <w:rFonts w:ascii="Arial" w:eastAsia="Times New Roman" w:hAnsi="Arial" w:cs="Arial"/>
                <w:sz w:val="20"/>
                <w:szCs w:val="20"/>
                <w:lang w:eastAsia="es-CO"/>
              </w:rPr>
            </w:pPr>
            <w:r w:rsidRPr="00F6416E">
              <w:rPr>
                <w:rFonts w:ascii="Arial" w:eastAsia="Times New Roman" w:hAnsi="Arial" w:cs="Arial"/>
                <w:sz w:val="20"/>
                <w:szCs w:val="20"/>
                <w:lang w:eastAsia="es-CO"/>
              </w:rPr>
              <w:t>0,0%</w:t>
            </w:r>
          </w:p>
        </w:tc>
        <w:tc>
          <w:tcPr>
            <w:tcW w:w="1300" w:type="dxa"/>
            <w:tcBorders>
              <w:top w:val="nil"/>
              <w:left w:val="nil"/>
              <w:bottom w:val="single" w:sz="4" w:space="0" w:color="auto"/>
              <w:right w:val="single" w:sz="4" w:space="0" w:color="auto"/>
            </w:tcBorders>
            <w:shd w:val="clear" w:color="auto" w:fill="auto"/>
            <w:noWrap/>
            <w:vAlign w:val="bottom"/>
            <w:hideMark/>
          </w:tcPr>
          <w:p w:rsidR="00105248" w:rsidRPr="00F6416E" w:rsidRDefault="00105248" w:rsidP="00E57F8B">
            <w:pPr>
              <w:spacing w:after="0" w:line="240" w:lineRule="auto"/>
              <w:jc w:val="right"/>
              <w:rPr>
                <w:rFonts w:ascii="Arial" w:eastAsia="Times New Roman" w:hAnsi="Arial" w:cs="Arial"/>
                <w:sz w:val="20"/>
                <w:szCs w:val="20"/>
                <w:lang w:eastAsia="es-CO"/>
              </w:rPr>
            </w:pPr>
            <w:r w:rsidRPr="00F6416E">
              <w:rPr>
                <w:rFonts w:ascii="Arial" w:eastAsia="Times New Roman" w:hAnsi="Arial" w:cs="Arial"/>
                <w:sz w:val="20"/>
                <w:szCs w:val="20"/>
                <w:lang w:eastAsia="es-CO"/>
              </w:rPr>
              <w:t>0,0%</w:t>
            </w:r>
          </w:p>
        </w:tc>
      </w:tr>
    </w:tbl>
    <w:p w:rsidR="00105248" w:rsidRPr="005363C9" w:rsidRDefault="00105248" w:rsidP="00105248">
      <w:pPr>
        <w:jc w:val="center"/>
        <w:rPr>
          <w:sz w:val="20"/>
          <w:lang w:val="es-ES"/>
        </w:rPr>
      </w:pPr>
      <w:r w:rsidRPr="005363C9">
        <w:rPr>
          <w:sz w:val="20"/>
          <w:lang w:val="es-ES"/>
        </w:rPr>
        <w:t>Fuente: Elaboración propia del autor, datos SICODIS SGP</w:t>
      </w:r>
    </w:p>
    <w:p w:rsidR="00105248" w:rsidRDefault="00105248" w:rsidP="00105248">
      <w:pPr>
        <w:jc w:val="both"/>
        <w:rPr>
          <w:lang w:val="es-ES"/>
        </w:rPr>
      </w:pPr>
      <w:r>
        <w:rPr>
          <w:lang w:val="es-ES"/>
        </w:rPr>
        <w:t xml:space="preserve">Para el departamento de Caquetá, las asignaciones de propósito general han oscilado alrededor de los $59 mil millones de pesos que equivalen al 11% del total, aproximadamente. Dentro de las asignaciones de propósito general la de mayor distribución en todos los años es la de libre inversión con un 54% ($32 mil millones de pesos), seguida por la libre destinación con un 37% ($22 mil millones de pesos). Siendo los rubros mas grandes, parte de los recursos de estas asignaciones podrían invertirse en el desarrollo e implementación de incentivos financieros ambientales. </w:t>
      </w:r>
    </w:p>
    <w:p w:rsidR="00105248" w:rsidRDefault="00105248" w:rsidP="00105248">
      <w:pPr>
        <w:jc w:val="both"/>
        <w:rPr>
          <w:lang w:val="es-ES"/>
        </w:rPr>
      </w:pPr>
    </w:p>
    <w:tbl>
      <w:tblPr>
        <w:tblW w:w="9400" w:type="dxa"/>
        <w:jc w:val="center"/>
        <w:tblCellMar>
          <w:left w:w="70" w:type="dxa"/>
          <w:right w:w="70" w:type="dxa"/>
        </w:tblCellMar>
        <w:tblLook w:val="04A0" w:firstRow="1" w:lastRow="0" w:firstColumn="1" w:lastColumn="0" w:noHBand="0" w:noVBand="1"/>
      </w:tblPr>
      <w:tblGrid>
        <w:gridCol w:w="3040"/>
        <w:gridCol w:w="1300"/>
        <w:gridCol w:w="1220"/>
        <w:gridCol w:w="1200"/>
        <w:gridCol w:w="1340"/>
        <w:gridCol w:w="1300"/>
      </w:tblGrid>
      <w:tr w:rsidR="00105248" w:rsidRPr="007848F4" w:rsidTr="00E57F8B">
        <w:trPr>
          <w:trHeight w:val="270"/>
          <w:jc w:val="center"/>
        </w:trPr>
        <w:tc>
          <w:tcPr>
            <w:tcW w:w="3040" w:type="dxa"/>
            <w:tcBorders>
              <w:top w:val="single" w:sz="4" w:space="0" w:color="000000"/>
              <w:left w:val="single" w:sz="4" w:space="0" w:color="000000"/>
              <w:bottom w:val="single" w:sz="4" w:space="0" w:color="000000"/>
              <w:right w:val="single" w:sz="4" w:space="0" w:color="000000"/>
            </w:tcBorders>
            <w:shd w:val="clear" w:color="000000" w:fill="C5D9F1"/>
            <w:vAlign w:val="center"/>
            <w:hideMark/>
          </w:tcPr>
          <w:p w:rsidR="00105248" w:rsidRPr="007848F4" w:rsidRDefault="00105248" w:rsidP="00E57F8B">
            <w:pPr>
              <w:spacing w:after="0" w:line="240" w:lineRule="auto"/>
              <w:jc w:val="center"/>
              <w:rPr>
                <w:rFonts w:ascii="Arial" w:eastAsia="Times New Roman" w:hAnsi="Arial" w:cs="Arial"/>
                <w:b/>
                <w:bCs/>
                <w:sz w:val="18"/>
                <w:szCs w:val="18"/>
                <w:lang w:eastAsia="es-CO"/>
              </w:rPr>
            </w:pPr>
            <w:r w:rsidRPr="007848F4">
              <w:rPr>
                <w:rFonts w:ascii="Arial" w:eastAsia="Times New Roman" w:hAnsi="Arial" w:cs="Arial"/>
                <w:b/>
                <w:bCs/>
                <w:sz w:val="18"/>
                <w:szCs w:val="18"/>
                <w:lang w:eastAsia="es-CO"/>
              </w:rPr>
              <w:t>Concepto</w:t>
            </w:r>
          </w:p>
        </w:tc>
        <w:tc>
          <w:tcPr>
            <w:tcW w:w="1300" w:type="dxa"/>
            <w:tcBorders>
              <w:top w:val="single" w:sz="4" w:space="0" w:color="000000"/>
              <w:left w:val="nil"/>
              <w:bottom w:val="single" w:sz="4" w:space="0" w:color="000000"/>
              <w:right w:val="single" w:sz="4" w:space="0" w:color="000000"/>
            </w:tcBorders>
            <w:shd w:val="clear" w:color="000000" w:fill="C5D9F1"/>
            <w:vAlign w:val="center"/>
            <w:hideMark/>
          </w:tcPr>
          <w:p w:rsidR="00105248" w:rsidRPr="007848F4" w:rsidRDefault="00105248" w:rsidP="00E57F8B">
            <w:pPr>
              <w:spacing w:after="0" w:line="240" w:lineRule="auto"/>
              <w:jc w:val="center"/>
              <w:rPr>
                <w:rFonts w:ascii="Arial" w:eastAsia="Times New Roman" w:hAnsi="Arial" w:cs="Arial"/>
                <w:b/>
                <w:bCs/>
                <w:sz w:val="18"/>
                <w:szCs w:val="18"/>
                <w:lang w:eastAsia="es-CO"/>
              </w:rPr>
            </w:pPr>
            <w:r w:rsidRPr="007848F4">
              <w:rPr>
                <w:rFonts w:ascii="Arial" w:eastAsia="Times New Roman" w:hAnsi="Arial" w:cs="Arial"/>
                <w:b/>
                <w:bCs/>
                <w:sz w:val="18"/>
                <w:szCs w:val="18"/>
                <w:lang w:eastAsia="es-CO"/>
              </w:rPr>
              <w:t>2015</w:t>
            </w:r>
          </w:p>
        </w:tc>
        <w:tc>
          <w:tcPr>
            <w:tcW w:w="1220" w:type="dxa"/>
            <w:tcBorders>
              <w:top w:val="single" w:sz="4" w:space="0" w:color="000000"/>
              <w:left w:val="nil"/>
              <w:bottom w:val="single" w:sz="4" w:space="0" w:color="000000"/>
              <w:right w:val="single" w:sz="4" w:space="0" w:color="000000"/>
            </w:tcBorders>
            <w:shd w:val="clear" w:color="000000" w:fill="C5D9F1"/>
            <w:vAlign w:val="center"/>
            <w:hideMark/>
          </w:tcPr>
          <w:p w:rsidR="00105248" w:rsidRPr="007848F4" w:rsidRDefault="00105248" w:rsidP="00E57F8B">
            <w:pPr>
              <w:spacing w:after="0" w:line="240" w:lineRule="auto"/>
              <w:jc w:val="center"/>
              <w:rPr>
                <w:rFonts w:ascii="Arial" w:eastAsia="Times New Roman" w:hAnsi="Arial" w:cs="Arial"/>
                <w:b/>
                <w:bCs/>
                <w:sz w:val="18"/>
                <w:szCs w:val="18"/>
                <w:lang w:eastAsia="es-CO"/>
              </w:rPr>
            </w:pPr>
            <w:r w:rsidRPr="007848F4">
              <w:rPr>
                <w:rFonts w:ascii="Arial" w:eastAsia="Times New Roman" w:hAnsi="Arial" w:cs="Arial"/>
                <w:b/>
                <w:bCs/>
                <w:sz w:val="18"/>
                <w:szCs w:val="18"/>
                <w:lang w:eastAsia="es-CO"/>
              </w:rPr>
              <w:t>2016</w:t>
            </w:r>
          </w:p>
        </w:tc>
        <w:tc>
          <w:tcPr>
            <w:tcW w:w="1200" w:type="dxa"/>
            <w:tcBorders>
              <w:top w:val="single" w:sz="4" w:space="0" w:color="000000"/>
              <w:left w:val="nil"/>
              <w:bottom w:val="single" w:sz="4" w:space="0" w:color="000000"/>
              <w:right w:val="single" w:sz="4" w:space="0" w:color="000000"/>
            </w:tcBorders>
            <w:shd w:val="clear" w:color="000000" w:fill="C5D9F1"/>
            <w:vAlign w:val="center"/>
            <w:hideMark/>
          </w:tcPr>
          <w:p w:rsidR="00105248" w:rsidRPr="007848F4" w:rsidRDefault="00105248" w:rsidP="00E57F8B">
            <w:pPr>
              <w:spacing w:after="0" w:line="240" w:lineRule="auto"/>
              <w:jc w:val="center"/>
              <w:rPr>
                <w:rFonts w:ascii="Arial" w:eastAsia="Times New Roman" w:hAnsi="Arial" w:cs="Arial"/>
                <w:b/>
                <w:bCs/>
                <w:sz w:val="18"/>
                <w:szCs w:val="18"/>
                <w:lang w:eastAsia="es-CO"/>
              </w:rPr>
            </w:pPr>
            <w:r w:rsidRPr="007848F4">
              <w:rPr>
                <w:rFonts w:ascii="Arial" w:eastAsia="Times New Roman" w:hAnsi="Arial" w:cs="Arial"/>
                <w:b/>
                <w:bCs/>
                <w:sz w:val="18"/>
                <w:szCs w:val="18"/>
                <w:lang w:eastAsia="es-CO"/>
              </w:rPr>
              <w:t>2017</w:t>
            </w:r>
          </w:p>
        </w:tc>
        <w:tc>
          <w:tcPr>
            <w:tcW w:w="1340" w:type="dxa"/>
            <w:tcBorders>
              <w:top w:val="single" w:sz="4" w:space="0" w:color="000000"/>
              <w:left w:val="nil"/>
              <w:bottom w:val="single" w:sz="4" w:space="0" w:color="000000"/>
              <w:right w:val="single" w:sz="4" w:space="0" w:color="000000"/>
            </w:tcBorders>
            <w:shd w:val="clear" w:color="000000" w:fill="C5D9F1"/>
            <w:vAlign w:val="center"/>
            <w:hideMark/>
          </w:tcPr>
          <w:p w:rsidR="00105248" w:rsidRPr="007848F4" w:rsidRDefault="00105248" w:rsidP="00E57F8B">
            <w:pPr>
              <w:spacing w:after="0" w:line="240" w:lineRule="auto"/>
              <w:jc w:val="center"/>
              <w:rPr>
                <w:rFonts w:ascii="Arial" w:eastAsia="Times New Roman" w:hAnsi="Arial" w:cs="Arial"/>
                <w:b/>
                <w:bCs/>
                <w:sz w:val="18"/>
                <w:szCs w:val="18"/>
                <w:lang w:eastAsia="es-CO"/>
              </w:rPr>
            </w:pPr>
            <w:r w:rsidRPr="007848F4">
              <w:rPr>
                <w:rFonts w:ascii="Arial" w:eastAsia="Times New Roman" w:hAnsi="Arial" w:cs="Arial"/>
                <w:b/>
                <w:bCs/>
                <w:sz w:val="18"/>
                <w:szCs w:val="18"/>
                <w:lang w:eastAsia="es-CO"/>
              </w:rPr>
              <w:t>2018</w:t>
            </w:r>
          </w:p>
        </w:tc>
        <w:tc>
          <w:tcPr>
            <w:tcW w:w="1300" w:type="dxa"/>
            <w:tcBorders>
              <w:top w:val="single" w:sz="4" w:space="0" w:color="000000"/>
              <w:left w:val="nil"/>
              <w:bottom w:val="single" w:sz="4" w:space="0" w:color="000000"/>
              <w:right w:val="single" w:sz="4" w:space="0" w:color="000000"/>
            </w:tcBorders>
            <w:shd w:val="clear" w:color="000000" w:fill="C5D9F1"/>
            <w:vAlign w:val="center"/>
            <w:hideMark/>
          </w:tcPr>
          <w:p w:rsidR="00105248" w:rsidRPr="007848F4" w:rsidRDefault="00105248" w:rsidP="00E57F8B">
            <w:pPr>
              <w:spacing w:after="0" w:line="240" w:lineRule="auto"/>
              <w:jc w:val="center"/>
              <w:rPr>
                <w:rFonts w:ascii="Arial" w:eastAsia="Times New Roman" w:hAnsi="Arial" w:cs="Arial"/>
                <w:b/>
                <w:bCs/>
                <w:sz w:val="18"/>
                <w:szCs w:val="18"/>
                <w:lang w:eastAsia="es-CO"/>
              </w:rPr>
            </w:pPr>
            <w:r w:rsidRPr="007848F4">
              <w:rPr>
                <w:rFonts w:ascii="Arial" w:eastAsia="Times New Roman" w:hAnsi="Arial" w:cs="Arial"/>
                <w:b/>
                <w:bCs/>
                <w:sz w:val="18"/>
                <w:szCs w:val="18"/>
                <w:lang w:eastAsia="es-CO"/>
              </w:rPr>
              <w:t>2019</w:t>
            </w:r>
          </w:p>
        </w:tc>
      </w:tr>
      <w:tr w:rsidR="00105248" w:rsidRPr="007848F4" w:rsidTr="00E57F8B">
        <w:trPr>
          <w:trHeight w:val="270"/>
          <w:jc w:val="center"/>
        </w:trPr>
        <w:tc>
          <w:tcPr>
            <w:tcW w:w="3040" w:type="dxa"/>
            <w:tcBorders>
              <w:top w:val="nil"/>
              <w:left w:val="single" w:sz="4" w:space="0" w:color="000000"/>
              <w:bottom w:val="single" w:sz="8" w:space="0" w:color="000000"/>
              <w:right w:val="single" w:sz="8" w:space="0" w:color="000000"/>
            </w:tcBorders>
            <w:shd w:val="clear" w:color="auto" w:fill="auto"/>
            <w:vAlign w:val="center"/>
            <w:hideMark/>
          </w:tcPr>
          <w:p w:rsidR="00105248" w:rsidRPr="007848F4" w:rsidRDefault="00105248" w:rsidP="00E57F8B">
            <w:pPr>
              <w:spacing w:after="0" w:line="240" w:lineRule="auto"/>
              <w:rPr>
                <w:rFonts w:ascii="Arial" w:eastAsia="Times New Roman" w:hAnsi="Arial" w:cs="Arial"/>
                <w:sz w:val="16"/>
                <w:szCs w:val="16"/>
                <w:lang w:eastAsia="es-CO"/>
              </w:rPr>
            </w:pPr>
            <w:r w:rsidRPr="007848F4">
              <w:rPr>
                <w:rFonts w:ascii="Arial" w:eastAsia="Times New Roman" w:hAnsi="Arial" w:cs="Arial"/>
                <w:sz w:val="16"/>
                <w:szCs w:val="16"/>
                <w:lang w:eastAsia="es-CO"/>
              </w:rPr>
              <w:t>- Libre Destinación</w:t>
            </w:r>
          </w:p>
        </w:tc>
        <w:tc>
          <w:tcPr>
            <w:tcW w:w="1300" w:type="dxa"/>
            <w:tcBorders>
              <w:top w:val="nil"/>
              <w:left w:val="nil"/>
              <w:bottom w:val="single" w:sz="4" w:space="0" w:color="auto"/>
              <w:right w:val="single" w:sz="4" w:space="0" w:color="auto"/>
            </w:tcBorders>
            <w:shd w:val="clear" w:color="auto" w:fill="auto"/>
            <w:noWrap/>
            <w:vAlign w:val="bottom"/>
            <w:hideMark/>
          </w:tcPr>
          <w:p w:rsidR="00105248" w:rsidRPr="007848F4" w:rsidRDefault="00105248" w:rsidP="00E57F8B">
            <w:pPr>
              <w:spacing w:after="0" w:line="240" w:lineRule="auto"/>
              <w:jc w:val="right"/>
              <w:rPr>
                <w:rFonts w:ascii="Arial" w:eastAsia="Times New Roman" w:hAnsi="Arial" w:cs="Arial"/>
                <w:sz w:val="20"/>
                <w:szCs w:val="20"/>
                <w:lang w:eastAsia="es-CO"/>
              </w:rPr>
            </w:pPr>
            <w:r w:rsidRPr="007848F4">
              <w:rPr>
                <w:rFonts w:ascii="Arial" w:eastAsia="Times New Roman" w:hAnsi="Arial" w:cs="Arial"/>
                <w:sz w:val="20"/>
                <w:szCs w:val="20"/>
                <w:lang w:eastAsia="es-CO"/>
              </w:rPr>
              <w:t>37,6%</w:t>
            </w:r>
          </w:p>
        </w:tc>
        <w:tc>
          <w:tcPr>
            <w:tcW w:w="1220" w:type="dxa"/>
            <w:tcBorders>
              <w:top w:val="nil"/>
              <w:left w:val="nil"/>
              <w:bottom w:val="single" w:sz="4" w:space="0" w:color="auto"/>
              <w:right w:val="single" w:sz="4" w:space="0" w:color="auto"/>
            </w:tcBorders>
            <w:shd w:val="clear" w:color="auto" w:fill="auto"/>
            <w:noWrap/>
            <w:vAlign w:val="bottom"/>
            <w:hideMark/>
          </w:tcPr>
          <w:p w:rsidR="00105248" w:rsidRPr="007848F4" w:rsidRDefault="00105248" w:rsidP="00E57F8B">
            <w:pPr>
              <w:spacing w:after="0" w:line="240" w:lineRule="auto"/>
              <w:jc w:val="right"/>
              <w:rPr>
                <w:rFonts w:ascii="Arial" w:eastAsia="Times New Roman" w:hAnsi="Arial" w:cs="Arial"/>
                <w:sz w:val="20"/>
                <w:szCs w:val="20"/>
                <w:lang w:eastAsia="es-CO"/>
              </w:rPr>
            </w:pPr>
            <w:r w:rsidRPr="007848F4">
              <w:rPr>
                <w:rFonts w:ascii="Arial" w:eastAsia="Times New Roman" w:hAnsi="Arial" w:cs="Arial"/>
                <w:sz w:val="20"/>
                <w:szCs w:val="20"/>
                <w:lang w:eastAsia="es-CO"/>
              </w:rPr>
              <w:t>37,2%</w:t>
            </w:r>
          </w:p>
        </w:tc>
        <w:tc>
          <w:tcPr>
            <w:tcW w:w="1200" w:type="dxa"/>
            <w:tcBorders>
              <w:top w:val="nil"/>
              <w:left w:val="nil"/>
              <w:bottom w:val="single" w:sz="4" w:space="0" w:color="auto"/>
              <w:right w:val="single" w:sz="4" w:space="0" w:color="auto"/>
            </w:tcBorders>
            <w:shd w:val="clear" w:color="auto" w:fill="auto"/>
            <w:noWrap/>
            <w:vAlign w:val="bottom"/>
            <w:hideMark/>
          </w:tcPr>
          <w:p w:rsidR="00105248" w:rsidRPr="007848F4" w:rsidRDefault="00105248" w:rsidP="00E57F8B">
            <w:pPr>
              <w:spacing w:after="0" w:line="240" w:lineRule="auto"/>
              <w:jc w:val="right"/>
              <w:rPr>
                <w:rFonts w:ascii="Arial" w:eastAsia="Times New Roman" w:hAnsi="Arial" w:cs="Arial"/>
                <w:sz w:val="20"/>
                <w:szCs w:val="20"/>
                <w:lang w:eastAsia="es-CO"/>
              </w:rPr>
            </w:pPr>
            <w:r w:rsidRPr="007848F4">
              <w:rPr>
                <w:rFonts w:ascii="Arial" w:eastAsia="Times New Roman" w:hAnsi="Arial" w:cs="Arial"/>
                <w:sz w:val="20"/>
                <w:szCs w:val="20"/>
                <w:lang w:eastAsia="es-CO"/>
              </w:rPr>
              <w:t>37,3%</w:t>
            </w:r>
          </w:p>
        </w:tc>
        <w:tc>
          <w:tcPr>
            <w:tcW w:w="1340" w:type="dxa"/>
            <w:tcBorders>
              <w:top w:val="nil"/>
              <w:left w:val="nil"/>
              <w:bottom w:val="single" w:sz="4" w:space="0" w:color="auto"/>
              <w:right w:val="single" w:sz="4" w:space="0" w:color="auto"/>
            </w:tcBorders>
            <w:shd w:val="clear" w:color="auto" w:fill="auto"/>
            <w:noWrap/>
            <w:vAlign w:val="bottom"/>
            <w:hideMark/>
          </w:tcPr>
          <w:p w:rsidR="00105248" w:rsidRPr="007848F4" w:rsidRDefault="00105248" w:rsidP="00E57F8B">
            <w:pPr>
              <w:spacing w:after="0" w:line="240" w:lineRule="auto"/>
              <w:jc w:val="right"/>
              <w:rPr>
                <w:rFonts w:ascii="Arial" w:eastAsia="Times New Roman" w:hAnsi="Arial" w:cs="Arial"/>
                <w:sz w:val="20"/>
                <w:szCs w:val="20"/>
                <w:lang w:eastAsia="es-CO"/>
              </w:rPr>
            </w:pPr>
            <w:r w:rsidRPr="007848F4">
              <w:rPr>
                <w:rFonts w:ascii="Arial" w:eastAsia="Times New Roman" w:hAnsi="Arial" w:cs="Arial"/>
                <w:sz w:val="20"/>
                <w:szCs w:val="20"/>
                <w:lang w:eastAsia="es-CO"/>
              </w:rPr>
              <w:t>37,6%</w:t>
            </w:r>
          </w:p>
        </w:tc>
        <w:tc>
          <w:tcPr>
            <w:tcW w:w="1300" w:type="dxa"/>
            <w:tcBorders>
              <w:top w:val="nil"/>
              <w:left w:val="nil"/>
              <w:bottom w:val="single" w:sz="4" w:space="0" w:color="auto"/>
              <w:right w:val="single" w:sz="4" w:space="0" w:color="auto"/>
            </w:tcBorders>
            <w:shd w:val="clear" w:color="auto" w:fill="auto"/>
            <w:noWrap/>
            <w:vAlign w:val="bottom"/>
            <w:hideMark/>
          </w:tcPr>
          <w:p w:rsidR="00105248" w:rsidRPr="007848F4" w:rsidRDefault="00105248" w:rsidP="00E57F8B">
            <w:pPr>
              <w:spacing w:after="0" w:line="240" w:lineRule="auto"/>
              <w:jc w:val="right"/>
              <w:rPr>
                <w:rFonts w:ascii="Arial" w:eastAsia="Times New Roman" w:hAnsi="Arial" w:cs="Arial"/>
                <w:sz w:val="20"/>
                <w:szCs w:val="20"/>
                <w:lang w:eastAsia="es-CO"/>
              </w:rPr>
            </w:pPr>
            <w:r w:rsidRPr="007848F4">
              <w:rPr>
                <w:rFonts w:ascii="Arial" w:eastAsia="Times New Roman" w:hAnsi="Arial" w:cs="Arial"/>
                <w:sz w:val="20"/>
                <w:szCs w:val="20"/>
                <w:lang w:eastAsia="es-CO"/>
              </w:rPr>
              <w:t>37,5%</w:t>
            </w:r>
          </w:p>
        </w:tc>
      </w:tr>
      <w:tr w:rsidR="00105248" w:rsidRPr="007848F4" w:rsidTr="00E57F8B">
        <w:trPr>
          <w:trHeight w:val="270"/>
          <w:jc w:val="center"/>
        </w:trPr>
        <w:tc>
          <w:tcPr>
            <w:tcW w:w="3040" w:type="dxa"/>
            <w:tcBorders>
              <w:top w:val="nil"/>
              <w:left w:val="single" w:sz="4" w:space="0" w:color="000000"/>
              <w:bottom w:val="single" w:sz="8" w:space="0" w:color="000000"/>
              <w:right w:val="single" w:sz="8" w:space="0" w:color="000000"/>
            </w:tcBorders>
            <w:shd w:val="clear" w:color="auto" w:fill="auto"/>
            <w:vAlign w:val="center"/>
            <w:hideMark/>
          </w:tcPr>
          <w:p w:rsidR="00105248" w:rsidRPr="007848F4" w:rsidRDefault="00105248" w:rsidP="00E57F8B">
            <w:pPr>
              <w:spacing w:after="0" w:line="240" w:lineRule="auto"/>
              <w:rPr>
                <w:rFonts w:ascii="Arial" w:eastAsia="Times New Roman" w:hAnsi="Arial" w:cs="Arial"/>
                <w:sz w:val="16"/>
                <w:szCs w:val="16"/>
                <w:lang w:eastAsia="es-CO"/>
              </w:rPr>
            </w:pPr>
            <w:r w:rsidRPr="007848F4">
              <w:rPr>
                <w:rFonts w:ascii="Arial" w:eastAsia="Times New Roman" w:hAnsi="Arial" w:cs="Arial"/>
                <w:sz w:val="16"/>
                <w:szCs w:val="16"/>
                <w:lang w:eastAsia="es-CO"/>
              </w:rPr>
              <w:t>- Deporte</w:t>
            </w:r>
          </w:p>
        </w:tc>
        <w:tc>
          <w:tcPr>
            <w:tcW w:w="1300" w:type="dxa"/>
            <w:tcBorders>
              <w:top w:val="nil"/>
              <w:left w:val="nil"/>
              <w:bottom w:val="single" w:sz="4" w:space="0" w:color="auto"/>
              <w:right w:val="single" w:sz="4" w:space="0" w:color="auto"/>
            </w:tcBorders>
            <w:shd w:val="clear" w:color="auto" w:fill="auto"/>
            <w:noWrap/>
            <w:vAlign w:val="bottom"/>
            <w:hideMark/>
          </w:tcPr>
          <w:p w:rsidR="00105248" w:rsidRPr="007848F4" w:rsidRDefault="00105248" w:rsidP="00E57F8B">
            <w:pPr>
              <w:spacing w:after="0" w:line="240" w:lineRule="auto"/>
              <w:jc w:val="right"/>
              <w:rPr>
                <w:rFonts w:ascii="Arial" w:eastAsia="Times New Roman" w:hAnsi="Arial" w:cs="Arial"/>
                <w:sz w:val="20"/>
                <w:szCs w:val="20"/>
                <w:lang w:eastAsia="es-CO"/>
              </w:rPr>
            </w:pPr>
            <w:r w:rsidRPr="007848F4">
              <w:rPr>
                <w:rFonts w:ascii="Arial" w:eastAsia="Times New Roman" w:hAnsi="Arial" w:cs="Arial"/>
                <w:sz w:val="20"/>
                <w:szCs w:val="20"/>
                <w:lang w:eastAsia="es-CO"/>
              </w:rPr>
              <w:t>3,6%</w:t>
            </w:r>
          </w:p>
        </w:tc>
        <w:tc>
          <w:tcPr>
            <w:tcW w:w="1220" w:type="dxa"/>
            <w:tcBorders>
              <w:top w:val="nil"/>
              <w:left w:val="nil"/>
              <w:bottom w:val="single" w:sz="4" w:space="0" w:color="auto"/>
              <w:right w:val="single" w:sz="4" w:space="0" w:color="auto"/>
            </w:tcBorders>
            <w:shd w:val="clear" w:color="auto" w:fill="auto"/>
            <w:noWrap/>
            <w:vAlign w:val="bottom"/>
            <w:hideMark/>
          </w:tcPr>
          <w:p w:rsidR="00105248" w:rsidRPr="007848F4" w:rsidRDefault="00105248" w:rsidP="00E57F8B">
            <w:pPr>
              <w:spacing w:after="0" w:line="240" w:lineRule="auto"/>
              <w:jc w:val="right"/>
              <w:rPr>
                <w:rFonts w:ascii="Arial" w:eastAsia="Times New Roman" w:hAnsi="Arial" w:cs="Arial"/>
                <w:sz w:val="20"/>
                <w:szCs w:val="20"/>
                <w:lang w:eastAsia="es-CO"/>
              </w:rPr>
            </w:pPr>
            <w:r w:rsidRPr="007848F4">
              <w:rPr>
                <w:rFonts w:ascii="Arial" w:eastAsia="Times New Roman" w:hAnsi="Arial" w:cs="Arial"/>
                <w:sz w:val="20"/>
                <w:szCs w:val="20"/>
                <w:lang w:eastAsia="es-CO"/>
              </w:rPr>
              <w:t>3,5%</w:t>
            </w:r>
          </w:p>
        </w:tc>
        <w:tc>
          <w:tcPr>
            <w:tcW w:w="1200" w:type="dxa"/>
            <w:tcBorders>
              <w:top w:val="nil"/>
              <w:left w:val="nil"/>
              <w:bottom w:val="single" w:sz="4" w:space="0" w:color="auto"/>
              <w:right w:val="single" w:sz="4" w:space="0" w:color="auto"/>
            </w:tcBorders>
            <w:shd w:val="clear" w:color="auto" w:fill="auto"/>
            <w:noWrap/>
            <w:vAlign w:val="bottom"/>
            <w:hideMark/>
          </w:tcPr>
          <w:p w:rsidR="00105248" w:rsidRPr="007848F4" w:rsidRDefault="00105248" w:rsidP="00E57F8B">
            <w:pPr>
              <w:spacing w:after="0" w:line="240" w:lineRule="auto"/>
              <w:jc w:val="right"/>
              <w:rPr>
                <w:rFonts w:ascii="Arial" w:eastAsia="Times New Roman" w:hAnsi="Arial" w:cs="Arial"/>
                <w:sz w:val="20"/>
                <w:szCs w:val="20"/>
                <w:lang w:eastAsia="es-CO"/>
              </w:rPr>
            </w:pPr>
            <w:r w:rsidRPr="007848F4">
              <w:rPr>
                <w:rFonts w:ascii="Arial" w:eastAsia="Times New Roman" w:hAnsi="Arial" w:cs="Arial"/>
                <w:sz w:val="20"/>
                <w:szCs w:val="20"/>
                <w:lang w:eastAsia="es-CO"/>
              </w:rPr>
              <w:t>3,3%</w:t>
            </w:r>
          </w:p>
        </w:tc>
        <w:tc>
          <w:tcPr>
            <w:tcW w:w="1340" w:type="dxa"/>
            <w:tcBorders>
              <w:top w:val="nil"/>
              <w:left w:val="nil"/>
              <w:bottom w:val="single" w:sz="4" w:space="0" w:color="auto"/>
              <w:right w:val="single" w:sz="4" w:space="0" w:color="auto"/>
            </w:tcBorders>
            <w:shd w:val="clear" w:color="auto" w:fill="auto"/>
            <w:noWrap/>
            <w:vAlign w:val="bottom"/>
            <w:hideMark/>
          </w:tcPr>
          <w:p w:rsidR="00105248" w:rsidRPr="007848F4" w:rsidRDefault="00105248" w:rsidP="00E57F8B">
            <w:pPr>
              <w:spacing w:after="0" w:line="240" w:lineRule="auto"/>
              <w:jc w:val="right"/>
              <w:rPr>
                <w:rFonts w:ascii="Arial" w:eastAsia="Times New Roman" w:hAnsi="Arial" w:cs="Arial"/>
                <w:sz w:val="20"/>
                <w:szCs w:val="20"/>
                <w:lang w:eastAsia="es-CO"/>
              </w:rPr>
            </w:pPr>
            <w:r w:rsidRPr="007848F4">
              <w:rPr>
                <w:rFonts w:ascii="Arial" w:eastAsia="Times New Roman" w:hAnsi="Arial" w:cs="Arial"/>
                <w:sz w:val="20"/>
                <w:szCs w:val="20"/>
                <w:lang w:eastAsia="es-CO"/>
              </w:rPr>
              <w:t>3,4%</w:t>
            </w:r>
          </w:p>
        </w:tc>
        <w:tc>
          <w:tcPr>
            <w:tcW w:w="1300" w:type="dxa"/>
            <w:tcBorders>
              <w:top w:val="nil"/>
              <w:left w:val="nil"/>
              <w:bottom w:val="single" w:sz="4" w:space="0" w:color="auto"/>
              <w:right w:val="single" w:sz="4" w:space="0" w:color="auto"/>
            </w:tcBorders>
            <w:shd w:val="clear" w:color="auto" w:fill="auto"/>
            <w:noWrap/>
            <w:vAlign w:val="bottom"/>
            <w:hideMark/>
          </w:tcPr>
          <w:p w:rsidR="00105248" w:rsidRPr="007848F4" w:rsidRDefault="00105248" w:rsidP="00E57F8B">
            <w:pPr>
              <w:spacing w:after="0" w:line="240" w:lineRule="auto"/>
              <w:jc w:val="right"/>
              <w:rPr>
                <w:rFonts w:ascii="Arial" w:eastAsia="Times New Roman" w:hAnsi="Arial" w:cs="Arial"/>
                <w:sz w:val="20"/>
                <w:szCs w:val="20"/>
                <w:lang w:eastAsia="es-CO"/>
              </w:rPr>
            </w:pPr>
            <w:r w:rsidRPr="007848F4">
              <w:rPr>
                <w:rFonts w:ascii="Arial" w:eastAsia="Times New Roman" w:hAnsi="Arial" w:cs="Arial"/>
                <w:sz w:val="20"/>
                <w:szCs w:val="20"/>
                <w:lang w:eastAsia="es-CO"/>
              </w:rPr>
              <w:t>3,4%</w:t>
            </w:r>
          </w:p>
        </w:tc>
      </w:tr>
      <w:tr w:rsidR="00105248" w:rsidRPr="007848F4" w:rsidTr="00E57F8B">
        <w:trPr>
          <w:trHeight w:val="270"/>
          <w:jc w:val="center"/>
        </w:trPr>
        <w:tc>
          <w:tcPr>
            <w:tcW w:w="3040" w:type="dxa"/>
            <w:tcBorders>
              <w:top w:val="nil"/>
              <w:left w:val="single" w:sz="4" w:space="0" w:color="000000"/>
              <w:bottom w:val="single" w:sz="8" w:space="0" w:color="000000"/>
              <w:right w:val="single" w:sz="8" w:space="0" w:color="000000"/>
            </w:tcBorders>
            <w:shd w:val="clear" w:color="auto" w:fill="auto"/>
            <w:vAlign w:val="center"/>
            <w:hideMark/>
          </w:tcPr>
          <w:p w:rsidR="00105248" w:rsidRPr="007848F4" w:rsidRDefault="00105248" w:rsidP="00E57F8B">
            <w:pPr>
              <w:spacing w:after="0" w:line="240" w:lineRule="auto"/>
              <w:rPr>
                <w:rFonts w:ascii="Arial" w:eastAsia="Times New Roman" w:hAnsi="Arial" w:cs="Arial"/>
                <w:sz w:val="16"/>
                <w:szCs w:val="16"/>
                <w:lang w:eastAsia="es-CO"/>
              </w:rPr>
            </w:pPr>
            <w:r w:rsidRPr="007848F4">
              <w:rPr>
                <w:rFonts w:ascii="Arial" w:eastAsia="Times New Roman" w:hAnsi="Arial" w:cs="Arial"/>
                <w:sz w:val="16"/>
                <w:szCs w:val="16"/>
                <w:lang w:eastAsia="es-CO"/>
              </w:rPr>
              <w:t>- Cultura</w:t>
            </w:r>
          </w:p>
        </w:tc>
        <w:tc>
          <w:tcPr>
            <w:tcW w:w="1300" w:type="dxa"/>
            <w:tcBorders>
              <w:top w:val="nil"/>
              <w:left w:val="nil"/>
              <w:bottom w:val="single" w:sz="4" w:space="0" w:color="auto"/>
              <w:right w:val="single" w:sz="4" w:space="0" w:color="auto"/>
            </w:tcBorders>
            <w:shd w:val="clear" w:color="auto" w:fill="auto"/>
            <w:noWrap/>
            <w:vAlign w:val="bottom"/>
            <w:hideMark/>
          </w:tcPr>
          <w:p w:rsidR="00105248" w:rsidRPr="007848F4" w:rsidRDefault="00105248" w:rsidP="00E57F8B">
            <w:pPr>
              <w:spacing w:after="0" w:line="240" w:lineRule="auto"/>
              <w:jc w:val="right"/>
              <w:rPr>
                <w:rFonts w:ascii="Arial" w:eastAsia="Times New Roman" w:hAnsi="Arial" w:cs="Arial"/>
                <w:sz w:val="20"/>
                <w:szCs w:val="20"/>
                <w:lang w:eastAsia="es-CO"/>
              </w:rPr>
            </w:pPr>
            <w:r w:rsidRPr="007848F4">
              <w:rPr>
                <w:rFonts w:ascii="Arial" w:eastAsia="Times New Roman" w:hAnsi="Arial" w:cs="Arial"/>
                <w:sz w:val="20"/>
                <w:szCs w:val="20"/>
                <w:lang w:eastAsia="es-CO"/>
              </w:rPr>
              <w:t>2,7%</w:t>
            </w:r>
          </w:p>
        </w:tc>
        <w:tc>
          <w:tcPr>
            <w:tcW w:w="1220" w:type="dxa"/>
            <w:tcBorders>
              <w:top w:val="nil"/>
              <w:left w:val="nil"/>
              <w:bottom w:val="single" w:sz="4" w:space="0" w:color="auto"/>
              <w:right w:val="single" w:sz="4" w:space="0" w:color="auto"/>
            </w:tcBorders>
            <w:shd w:val="clear" w:color="auto" w:fill="auto"/>
            <w:noWrap/>
            <w:vAlign w:val="bottom"/>
            <w:hideMark/>
          </w:tcPr>
          <w:p w:rsidR="00105248" w:rsidRPr="007848F4" w:rsidRDefault="00105248" w:rsidP="00E57F8B">
            <w:pPr>
              <w:spacing w:after="0" w:line="240" w:lineRule="auto"/>
              <w:jc w:val="right"/>
              <w:rPr>
                <w:rFonts w:ascii="Arial" w:eastAsia="Times New Roman" w:hAnsi="Arial" w:cs="Arial"/>
                <w:sz w:val="20"/>
                <w:szCs w:val="20"/>
                <w:lang w:eastAsia="es-CO"/>
              </w:rPr>
            </w:pPr>
            <w:r w:rsidRPr="007848F4">
              <w:rPr>
                <w:rFonts w:ascii="Arial" w:eastAsia="Times New Roman" w:hAnsi="Arial" w:cs="Arial"/>
                <w:sz w:val="20"/>
                <w:szCs w:val="20"/>
                <w:lang w:eastAsia="es-CO"/>
              </w:rPr>
              <w:t>2,6%</w:t>
            </w:r>
          </w:p>
        </w:tc>
        <w:tc>
          <w:tcPr>
            <w:tcW w:w="1200" w:type="dxa"/>
            <w:tcBorders>
              <w:top w:val="nil"/>
              <w:left w:val="nil"/>
              <w:bottom w:val="single" w:sz="4" w:space="0" w:color="auto"/>
              <w:right w:val="single" w:sz="4" w:space="0" w:color="auto"/>
            </w:tcBorders>
            <w:shd w:val="clear" w:color="auto" w:fill="auto"/>
            <w:noWrap/>
            <w:vAlign w:val="bottom"/>
            <w:hideMark/>
          </w:tcPr>
          <w:p w:rsidR="00105248" w:rsidRPr="007848F4" w:rsidRDefault="00105248" w:rsidP="00E57F8B">
            <w:pPr>
              <w:spacing w:after="0" w:line="240" w:lineRule="auto"/>
              <w:jc w:val="right"/>
              <w:rPr>
                <w:rFonts w:ascii="Arial" w:eastAsia="Times New Roman" w:hAnsi="Arial" w:cs="Arial"/>
                <w:sz w:val="20"/>
                <w:szCs w:val="20"/>
                <w:lang w:eastAsia="es-CO"/>
              </w:rPr>
            </w:pPr>
            <w:r w:rsidRPr="007848F4">
              <w:rPr>
                <w:rFonts w:ascii="Arial" w:eastAsia="Times New Roman" w:hAnsi="Arial" w:cs="Arial"/>
                <w:sz w:val="20"/>
                <w:szCs w:val="20"/>
                <w:lang w:eastAsia="es-CO"/>
              </w:rPr>
              <w:t>2,5%</w:t>
            </w:r>
          </w:p>
        </w:tc>
        <w:tc>
          <w:tcPr>
            <w:tcW w:w="1340" w:type="dxa"/>
            <w:tcBorders>
              <w:top w:val="nil"/>
              <w:left w:val="nil"/>
              <w:bottom w:val="single" w:sz="4" w:space="0" w:color="auto"/>
              <w:right w:val="single" w:sz="4" w:space="0" w:color="auto"/>
            </w:tcBorders>
            <w:shd w:val="clear" w:color="auto" w:fill="auto"/>
            <w:noWrap/>
            <w:vAlign w:val="bottom"/>
            <w:hideMark/>
          </w:tcPr>
          <w:p w:rsidR="00105248" w:rsidRPr="007848F4" w:rsidRDefault="00105248" w:rsidP="00E57F8B">
            <w:pPr>
              <w:spacing w:after="0" w:line="240" w:lineRule="auto"/>
              <w:jc w:val="right"/>
              <w:rPr>
                <w:rFonts w:ascii="Arial" w:eastAsia="Times New Roman" w:hAnsi="Arial" w:cs="Arial"/>
                <w:sz w:val="20"/>
                <w:szCs w:val="20"/>
                <w:lang w:eastAsia="es-CO"/>
              </w:rPr>
            </w:pPr>
            <w:r w:rsidRPr="007848F4">
              <w:rPr>
                <w:rFonts w:ascii="Arial" w:eastAsia="Times New Roman" w:hAnsi="Arial" w:cs="Arial"/>
                <w:sz w:val="20"/>
                <w:szCs w:val="20"/>
                <w:lang w:eastAsia="es-CO"/>
              </w:rPr>
              <w:t>2,5%</w:t>
            </w:r>
          </w:p>
        </w:tc>
        <w:tc>
          <w:tcPr>
            <w:tcW w:w="1300" w:type="dxa"/>
            <w:tcBorders>
              <w:top w:val="nil"/>
              <w:left w:val="nil"/>
              <w:bottom w:val="single" w:sz="4" w:space="0" w:color="auto"/>
              <w:right w:val="single" w:sz="4" w:space="0" w:color="auto"/>
            </w:tcBorders>
            <w:shd w:val="clear" w:color="auto" w:fill="auto"/>
            <w:noWrap/>
            <w:vAlign w:val="bottom"/>
            <w:hideMark/>
          </w:tcPr>
          <w:p w:rsidR="00105248" w:rsidRPr="007848F4" w:rsidRDefault="00105248" w:rsidP="00E57F8B">
            <w:pPr>
              <w:spacing w:after="0" w:line="240" w:lineRule="auto"/>
              <w:jc w:val="right"/>
              <w:rPr>
                <w:rFonts w:ascii="Arial" w:eastAsia="Times New Roman" w:hAnsi="Arial" w:cs="Arial"/>
                <w:sz w:val="20"/>
                <w:szCs w:val="20"/>
                <w:lang w:eastAsia="es-CO"/>
              </w:rPr>
            </w:pPr>
            <w:r w:rsidRPr="007848F4">
              <w:rPr>
                <w:rFonts w:ascii="Arial" w:eastAsia="Times New Roman" w:hAnsi="Arial" w:cs="Arial"/>
                <w:sz w:val="20"/>
                <w:szCs w:val="20"/>
                <w:lang w:eastAsia="es-CO"/>
              </w:rPr>
              <w:t>2,6%</w:t>
            </w:r>
          </w:p>
        </w:tc>
      </w:tr>
      <w:tr w:rsidR="00105248" w:rsidRPr="007848F4" w:rsidTr="00E57F8B">
        <w:trPr>
          <w:trHeight w:val="270"/>
          <w:jc w:val="center"/>
        </w:trPr>
        <w:tc>
          <w:tcPr>
            <w:tcW w:w="3040" w:type="dxa"/>
            <w:tcBorders>
              <w:top w:val="nil"/>
              <w:left w:val="single" w:sz="4" w:space="0" w:color="000000"/>
              <w:bottom w:val="single" w:sz="8" w:space="0" w:color="000000"/>
              <w:right w:val="single" w:sz="8" w:space="0" w:color="000000"/>
            </w:tcBorders>
            <w:shd w:val="clear" w:color="auto" w:fill="auto"/>
            <w:vAlign w:val="center"/>
            <w:hideMark/>
          </w:tcPr>
          <w:p w:rsidR="00105248" w:rsidRPr="007848F4" w:rsidRDefault="00105248" w:rsidP="00E57F8B">
            <w:pPr>
              <w:spacing w:after="0" w:line="240" w:lineRule="auto"/>
              <w:rPr>
                <w:rFonts w:ascii="Arial" w:eastAsia="Times New Roman" w:hAnsi="Arial" w:cs="Arial"/>
                <w:sz w:val="16"/>
                <w:szCs w:val="16"/>
                <w:lang w:eastAsia="es-CO"/>
              </w:rPr>
            </w:pPr>
            <w:r w:rsidRPr="007848F4">
              <w:rPr>
                <w:rFonts w:ascii="Arial" w:eastAsia="Times New Roman" w:hAnsi="Arial" w:cs="Arial"/>
                <w:sz w:val="16"/>
                <w:szCs w:val="16"/>
                <w:lang w:eastAsia="es-CO"/>
              </w:rPr>
              <w:t>- Libre Inversión</w:t>
            </w:r>
          </w:p>
        </w:tc>
        <w:tc>
          <w:tcPr>
            <w:tcW w:w="1300" w:type="dxa"/>
            <w:tcBorders>
              <w:top w:val="nil"/>
              <w:left w:val="nil"/>
              <w:bottom w:val="single" w:sz="4" w:space="0" w:color="auto"/>
              <w:right w:val="single" w:sz="4" w:space="0" w:color="auto"/>
            </w:tcBorders>
            <w:shd w:val="clear" w:color="auto" w:fill="auto"/>
            <w:noWrap/>
            <w:vAlign w:val="bottom"/>
            <w:hideMark/>
          </w:tcPr>
          <w:p w:rsidR="00105248" w:rsidRPr="007848F4" w:rsidRDefault="00105248" w:rsidP="00E57F8B">
            <w:pPr>
              <w:spacing w:after="0" w:line="240" w:lineRule="auto"/>
              <w:jc w:val="right"/>
              <w:rPr>
                <w:rFonts w:ascii="Arial" w:eastAsia="Times New Roman" w:hAnsi="Arial" w:cs="Arial"/>
                <w:sz w:val="20"/>
                <w:szCs w:val="20"/>
                <w:lang w:eastAsia="es-CO"/>
              </w:rPr>
            </w:pPr>
            <w:r w:rsidRPr="007848F4">
              <w:rPr>
                <w:rFonts w:ascii="Arial" w:eastAsia="Times New Roman" w:hAnsi="Arial" w:cs="Arial"/>
                <w:sz w:val="20"/>
                <w:szCs w:val="20"/>
                <w:lang w:eastAsia="es-CO"/>
              </w:rPr>
              <w:t>54,8%</w:t>
            </w:r>
          </w:p>
        </w:tc>
        <w:tc>
          <w:tcPr>
            <w:tcW w:w="1220" w:type="dxa"/>
            <w:tcBorders>
              <w:top w:val="nil"/>
              <w:left w:val="nil"/>
              <w:bottom w:val="single" w:sz="4" w:space="0" w:color="auto"/>
              <w:right w:val="single" w:sz="4" w:space="0" w:color="auto"/>
            </w:tcBorders>
            <w:shd w:val="clear" w:color="auto" w:fill="auto"/>
            <w:noWrap/>
            <w:vAlign w:val="bottom"/>
            <w:hideMark/>
          </w:tcPr>
          <w:p w:rsidR="00105248" w:rsidRPr="007848F4" w:rsidRDefault="00105248" w:rsidP="00E57F8B">
            <w:pPr>
              <w:spacing w:after="0" w:line="240" w:lineRule="auto"/>
              <w:jc w:val="right"/>
              <w:rPr>
                <w:rFonts w:ascii="Arial" w:eastAsia="Times New Roman" w:hAnsi="Arial" w:cs="Arial"/>
                <w:sz w:val="20"/>
                <w:szCs w:val="20"/>
                <w:lang w:eastAsia="es-CO"/>
              </w:rPr>
            </w:pPr>
            <w:r w:rsidRPr="007848F4">
              <w:rPr>
                <w:rFonts w:ascii="Arial" w:eastAsia="Times New Roman" w:hAnsi="Arial" w:cs="Arial"/>
                <w:sz w:val="20"/>
                <w:szCs w:val="20"/>
                <w:lang w:eastAsia="es-CO"/>
              </w:rPr>
              <w:t>55,1%</w:t>
            </w:r>
          </w:p>
        </w:tc>
        <w:tc>
          <w:tcPr>
            <w:tcW w:w="1200" w:type="dxa"/>
            <w:tcBorders>
              <w:top w:val="nil"/>
              <w:left w:val="nil"/>
              <w:bottom w:val="single" w:sz="4" w:space="0" w:color="auto"/>
              <w:right w:val="single" w:sz="4" w:space="0" w:color="auto"/>
            </w:tcBorders>
            <w:shd w:val="clear" w:color="auto" w:fill="auto"/>
            <w:noWrap/>
            <w:vAlign w:val="bottom"/>
            <w:hideMark/>
          </w:tcPr>
          <w:p w:rsidR="00105248" w:rsidRPr="007848F4" w:rsidRDefault="00105248" w:rsidP="00E57F8B">
            <w:pPr>
              <w:spacing w:after="0" w:line="240" w:lineRule="auto"/>
              <w:jc w:val="right"/>
              <w:rPr>
                <w:rFonts w:ascii="Arial" w:eastAsia="Times New Roman" w:hAnsi="Arial" w:cs="Arial"/>
                <w:sz w:val="20"/>
                <w:szCs w:val="20"/>
                <w:lang w:eastAsia="es-CO"/>
              </w:rPr>
            </w:pPr>
            <w:r w:rsidRPr="007848F4">
              <w:rPr>
                <w:rFonts w:ascii="Arial" w:eastAsia="Times New Roman" w:hAnsi="Arial" w:cs="Arial"/>
                <w:sz w:val="20"/>
                <w:szCs w:val="20"/>
                <w:lang w:eastAsia="es-CO"/>
              </w:rPr>
              <w:t>55,0%</w:t>
            </w:r>
          </w:p>
        </w:tc>
        <w:tc>
          <w:tcPr>
            <w:tcW w:w="1340" w:type="dxa"/>
            <w:tcBorders>
              <w:top w:val="nil"/>
              <w:left w:val="nil"/>
              <w:bottom w:val="single" w:sz="4" w:space="0" w:color="auto"/>
              <w:right w:val="single" w:sz="4" w:space="0" w:color="auto"/>
            </w:tcBorders>
            <w:shd w:val="clear" w:color="auto" w:fill="auto"/>
            <w:noWrap/>
            <w:vAlign w:val="bottom"/>
            <w:hideMark/>
          </w:tcPr>
          <w:p w:rsidR="00105248" w:rsidRPr="007848F4" w:rsidRDefault="00105248" w:rsidP="00E57F8B">
            <w:pPr>
              <w:spacing w:after="0" w:line="240" w:lineRule="auto"/>
              <w:jc w:val="right"/>
              <w:rPr>
                <w:rFonts w:ascii="Arial" w:eastAsia="Times New Roman" w:hAnsi="Arial" w:cs="Arial"/>
                <w:sz w:val="20"/>
                <w:szCs w:val="20"/>
                <w:lang w:eastAsia="es-CO"/>
              </w:rPr>
            </w:pPr>
            <w:r w:rsidRPr="007848F4">
              <w:rPr>
                <w:rFonts w:ascii="Arial" w:eastAsia="Times New Roman" w:hAnsi="Arial" w:cs="Arial"/>
                <w:sz w:val="20"/>
                <w:szCs w:val="20"/>
                <w:lang w:eastAsia="es-CO"/>
              </w:rPr>
              <w:t>53,9%</w:t>
            </w:r>
          </w:p>
        </w:tc>
        <w:tc>
          <w:tcPr>
            <w:tcW w:w="1300" w:type="dxa"/>
            <w:tcBorders>
              <w:top w:val="nil"/>
              <w:left w:val="nil"/>
              <w:bottom w:val="single" w:sz="4" w:space="0" w:color="auto"/>
              <w:right w:val="single" w:sz="4" w:space="0" w:color="auto"/>
            </w:tcBorders>
            <w:shd w:val="clear" w:color="auto" w:fill="auto"/>
            <w:noWrap/>
            <w:vAlign w:val="bottom"/>
            <w:hideMark/>
          </w:tcPr>
          <w:p w:rsidR="00105248" w:rsidRPr="007848F4" w:rsidRDefault="00105248" w:rsidP="00E57F8B">
            <w:pPr>
              <w:spacing w:after="0" w:line="240" w:lineRule="auto"/>
              <w:jc w:val="right"/>
              <w:rPr>
                <w:rFonts w:ascii="Arial" w:eastAsia="Times New Roman" w:hAnsi="Arial" w:cs="Arial"/>
                <w:sz w:val="20"/>
                <w:szCs w:val="20"/>
                <w:lang w:eastAsia="es-CO"/>
              </w:rPr>
            </w:pPr>
            <w:r w:rsidRPr="007848F4">
              <w:rPr>
                <w:rFonts w:ascii="Arial" w:eastAsia="Times New Roman" w:hAnsi="Arial" w:cs="Arial"/>
                <w:sz w:val="20"/>
                <w:szCs w:val="20"/>
                <w:lang w:eastAsia="es-CO"/>
              </w:rPr>
              <w:t>54,4%</w:t>
            </w:r>
          </w:p>
        </w:tc>
      </w:tr>
      <w:tr w:rsidR="00105248" w:rsidRPr="007848F4" w:rsidTr="00E57F8B">
        <w:trPr>
          <w:trHeight w:val="270"/>
          <w:jc w:val="center"/>
        </w:trPr>
        <w:tc>
          <w:tcPr>
            <w:tcW w:w="3040" w:type="dxa"/>
            <w:tcBorders>
              <w:top w:val="nil"/>
              <w:left w:val="single" w:sz="4" w:space="0" w:color="000000"/>
              <w:bottom w:val="single" w:sz="8" w:space="0" w:color="000000"/>
              <w:right w:val="single" w:sz="8" w:space="0" w:color="000000"/>
            </w:tcBorders>
            <w:shd w:val="clear" w:color="auto" w:fill="auto"/>
            <w:vAlign w:val="center"/>
            <w:hideMark/>
          </w:tcPr>
          <w:p w:rsidR="00105248" w:rsidRPr="007848F4" w:rsidRDefault="00105248" w:rsidP="00E57F8B">
            <w:pPr>
              <w:spacing w:after="0" w:line="240" w:lineRule="auto"/>
              <w:rPr>
                <w:rFonts w:ascii="Arial" w:eastAsia="Times New Roman" w:hAnsi="Arial" w:cs="Arial"/>
                <w:sz w:val="16"/>
                <w:szCs w:val="16"/>
                <w:lang w:eastAsia="es-CO"/>
              </w:rPr>
            </w:pPr>
            <w:r w:rsidRPr="007848F4">
              <w:rPr>
                <w:rFonts w:ascii="Arial" w:eastAsia="Times New Roman" w:hAnsi="Arial" w:cs="Arial"/>
                <w:sz w:val="16"/>
                <w:szCs w:val="16"/>
                <w:lang w:eastAsia="es-CO"/>
              </w:rPr>
              <w:t>- Fonpet</w:t>
            </w:r>
          </w:p>
        </w:tc>
        <w:tc>
          <w:tcPr>
            <w:tcW w:w="1300" w:type="dxa"/>
            <w:tcBorders>
              <w:top w:val="nil"/>
              <w:left w:val="nil"/>
              <w:bottom w:val="single" w:sz="4" w:space="0" w:color="auto"/>
              <w:right w:val="single" w:sz="4" w:space="0" w:color="auto"/>
            </w:tcBorders>
            <w:shd w:val="clear" w:color="auto" w:fill="auto"/>
            <w:noWrap/>
            <w:vAlign w:val="bottom"/>
            <w:hideMark/>
          </w:tcPr>
          <w:p w:rsidR="00105248" w:rsidRPr="007848F4" w:rsidRDefault="00105248" w:rsidP="00E57F8B">
            <w:pPr>
              <w:spacing w:after="0" w:line="240" w:lineRule="auto"/>
              <w:jc w:val="right"/>
              <w:rPr>
                <w:rFonts w:ascii="Arial" w:eastAsia="Times New Roman" w:hAnsi="Arial" w:cs="Arial"/>
                <w:sz w:val="20"/>
                <w:szCs w:val="20"/>
                <w:lang w:eastAsia="es-CO"/>
              </w:rPr>
            </w:pPr>
            <w:r w:rsidRPr="007848F4">
              <w:rPr>
                <w:rFonts w:ascii="Arial" w:eastAsia="Times New Roman" w:hAnsi="Arial" w:cs="Arial"/>
                <w:sz w:val="20"/>
                <w:szCs w:val="20"/>
                <w:lang w:eastAsia="es-CO"/>
              </w:rPr>
              <w:t>1,4%</w:t>
            </w:r>
          </w:p>
        </w:tc>
        <w:tc>
          <w:tcPr>
            <w:tcW w:w="1220" w:type="dxa"/>
            <w:tcBorders>
              <w:top w:val="nil"/>
              <w:left w:val="nil"/>
              <w:bottom w:val="single" w:sz="4" w:space="0" w:color="auto"/>
              <w:right w:val="single" w:sz="4" w:space="0" w:color="auto"/>
            </w:tcBorders>
            <w:shd w:val="clear" w:color="auto" w:fill="auto"/>
            <w:noWrap/>
            <w:vAlign w:val="bottom"/>
            <w:hideMark/>
          </w:tcPr>
          <w:p w:rsidR="00105248" w:rsidRPr="007848F4" w:rsidRDefault="00105248" w:rsidP="00E57F8B">
            <w:pPr>
              <w:spacing w:after="0" w:line="240" w:lineRule="auto"/>
              <w:jc w:val="right"/>
              <w:rPr>
                <w:rFonts w:ascii="Arial" w:eastAsia="Times New Roman" w:hAnsi="Arial" w:cs="Arial"/>
                <w:sz w:val="20"/>
                <w:szCs w:val="20"/>
                <w:lang w:eastAsia="es-CO"/>
              </w:rPr>
            </w:pPr>
            <w:r w:rsidRPr="007848F4">
              <w:rPr>
                <w:rFonts w:ascii="Arial" w:eastAsia="Times New Roman" w:hAnsi="Arial" w:cs="Arial"/>
                <w:sz w:val="20"/>
                <w:szCs w:val="20"/>
                <w:lang w:eastAsia="es-CO"/>
              </w:rPr>
              <w:t>1,5%</w:t>
            </w:r>
          </w:p>
        </w:tc>
        <w:tc>
          <w:tcPr>
            <w:tcW w:w="1200" w:type="dxa"/>
            <w:tcBorders>
              <w:top w:val="nil"/>
              <w:left w:val="nil"/>
              <w:bottom w:val="single" w:sz="4" w:space="0" w:color="auto"/>
              <w:right w:val="single" w:sz="4" w:space="0" w:color="auto"/>
            </w:tcBorders>
            <w:shd w:val="clear" w:color="auto" w:fill="auto"/>
            <w:noWrap/>
            <w:vAlign w:val="bottom"/>
            <w:hideMark/>
          </w:tcPr>
          <w:p w:rsidR="00105248" w:rsidRPr="007848F4" w:rsidRDefault="00105248" w:rsidP="00E57F8B">
            <w:pPr>
              <w:spacing w:after="0" w:line="240" w:lineRule="auto"/>
              <w:jc w:val="right"/>
              <w:rPr>
                <w:rFonts w:ascii="Arial" w:eastAsia="Times New Roman" w:hAnsi="Arial" w:cs="Arial"/>
                <w:sz w:val="20"/>
                <w:szCs w:val="20"/>
                <w:lang w:eastAsia="es-CO"/>
              </w:rPr>
            </w:pPr>
            <w:r w:rsidRPr="007848F4">
              <w:rPr>
                <w:rFonts w:ascii="Arial" w:eastAsia="Times New Roman" w:hAnsi="Arial" w:cs="Arial"/>
                <w:sz w:val="20"/>
                <w:szCs w:val="20"/>
                <w:lang w:eastAsia="es-CO"/>
              </w:rPr>
              <w:t>1,9%</w:t>
            </w:r>
          </w:p>
        </w:tc>
        <w:tc>
          <w:tcPr>
            <w:tcW w:w="1340" w:type="dxa"/>
            <w:tcBorders>
              <w:top w:val="nil"/>
              <w:left w:val="nil"/>
              <w:bottom w:val="single" w:sz="4" w:space="0" w:color="auto"/>
              <w:right w:val="single" w:sz="4" w:space="0" w:color="auto"/>
            </w:tcBorders>
            <w:shd w:val="clear" w:color="auto" w:fill="auto"/>
            <w:noWrap/>
            <w:vAlign w:val="bottom"/>
            <w:hideMark/>
          </w:tcPr>
          <w:p w:rsidR="00105248" w:rsidRPr="007848F4" w:rsidRDefault="00105248" w:rsidP="00E57F8B">
            <w:pPr>
              <w:spacing w:after="0" w:line="240" w:lineRule="auto"/>
              <w:jc w:val="right"/>
              <w:rPr>
                <w:rFonts w:ascii="Arial" w:eastAsia="Times New Roman" w:hAnsi="Arial" w:cs="Arial"/>
                <w:sz w:val="20"/>
                <w:szCs w:val="20"/>
                <w:lang w:eastAsia="es-CO"/>
              </w:rPr>
            </w:pPr>
            <w:r w:rsidRPr="007848F4">
              <w:rPr>
                <w:rFonts w:ascii="Arial" w:eastAsia="Times New Roman" w:hAnsi="Arial" w:cs="Arial"/>
                <w:sz w:val="20"/>
                <w:szCs w:val="20"/>
                <w:lang w:eastAsia="es-CO"/>
              </w:rPr>
              <w:t>2,6%</w:t>
            </w:r>
          </w:p>
        </w:tc>
        <w:tc>
          <w:tcPr>
            <w:tcW w:w="1300" w:type="dxa"/>
            <w:tcBorders>
              <w:top w:val="nil"/>
              <w:left w:val="nil"/>
              <w:bottom w:val="single" w:sz="4" w:space="0" w:color="auto"/>
              <w:right w:val="single" w:sz="4" w:space="0" w:color="auto"/>
            </w:tcBorders>
            <w:shd w:val="clear" w:color="auto" w:fill="auto"/>
            <w:noWrap/>
            <w:vAlign w:val="bottom"/>
            <w:hideMark/>
          </w:tcPr>
          <w:p w:rsidR="00105248" w:rsidRPr="007848F4" w:rsidRDefault="00105248" w:rsidP="00E57F8B">
            <w:pPr>
              <w:spacing w:after="0" w:line="240" w:lineRule="auto"/>
              <w:jc w:val="right"/>
              <w:rPr>
                <w:rFonts w:ascii="Arial" w:eastAsia="Times New Roman" w:hAnsi="Arial" w:cs="Arial"/>
                <w:sz w:val="20"/>
                <w:szCs w:val="20"/>
                <w:lang w:eastAsia="es-CO"/>
              </w:rPr>
            </w:pPr>
            <w:r w:rsidRPr="007848F4">
              <w:rPr>
                <w:rFonts w:ascii="Arial" w:eastAsia="Times New Roman" w:hAnsi="Arial" w:cs="Arial"/>
                <w:sz w:val="20"/>
                <w:szCs w:val="20"/>
                <w:lang w:eastAsia="es-CO"/>
              </w:rPr>
              <w:t>2,1%</w:t>
            </w:r>
          </w:p>
        </w:tc>
      </w:tr>
    </w:tbl>
    <w:p w:rsidR="00105248" w:rsidRPr="005363C9" w:rsidRDefault="00105248" w:rsidP="00105248">
      <w:pPr>
        <w:jc w:val="center"/>
        <w:rPr>
          <w:sz w:val="20"/>
          <w:lang w:val="es-ES"/>
        </w:rPr>
      </w:pPr>
      <w:r w:rsidRPr="005363C9">
        <w:rPr>
          <w:sz w:val="20"/>
          <w:lang w:val="es-ES"/>
        </w:rPr>
        <w:t>Fuente: Elaboración propia del autor, datos DNP a partir del SISFUT y SICODIS SGP</w:t>
      </w:r>
    </w:p>
    <w:p w:rsidR="00105248" w:rsidRDefault="00105248" w:rsidP="00105248">
      <w:pPr>
        <w:jc w:val="both"/>
        <w:rPr>
          <w:lang w:val="es-ES"/>
        </w:rPr>
      </w:pPr>
      <w:r>
        <w:rPr>
          <w:lang w:val="es-ES"/>
        </w:rPr>
        <w:t xml:space="preserve">Aunque las asignaciones alcanzan los $54 mil millones de pesos entre la libre destinación y libre inversión, los porcentajes de ejecución son muy bajos para el departamento. Para el año 2016, con los datos de DNP y SICODIS, la ejecución del presupuesto para libre inversión fue del 55% de los </w:t>
      </w:r>
      <w:r>
        <w:rPr>
          <w:lang w:val="es-ES"/>
        </w:rPr>
        <w:lastRenderedPageBreak/>
        <w:t xml:space="preserve">recursos asignados, mientras que lo de libre destinación solo tuvieron una ejecución del 36%. Es decir, hay espacio para realizar una ejecución del presupuesto mas eficiente que logre alcanzar los objetivos propuestos, e incluso que pueda permitir el desarrollo de nuevos proyectos. </w:t>
      </w:r>
    </w:p>
    <w:p w:rsidR="00105248" w:rsidRDefault="00105248" w:rsidP="00105248">
      <w:pPr>
        <w:jc w:val="both"/>
        <w:rPr>
          <w:lang w:val="es-ES"/>
        </w:rPr>
      </w:pPr>
      <w:r>
        <w:rPr>
          <w:lang w:val="es-ES"/>
        </w:rPr>
        <w:t>El presupuesto que se dejo de ejecutar para la libre inversión fue alrededor de $14.400 millones de pesos, mientras que lo que se dejó de ejecutar en libre destinación fue alrededor de $14.080 millones de pesos. Para un total de presupuesto por ejecutar de $28.480 millones de pesos. Esto puede ser una aproximación muy general de algunos recursos disponibles que pueden utilizarse para la implementación de los incentivos financieros. Sin embargo, es importante mirar un poco mas en detalle el comportamiento de estas inversiones en el medio ambiente y agricultura.</w:t>
      </w:r>
    </w:p>
    <w:p w:rsidR="00105248" w:rsidRDefault="00105248" w:rsidP="00105248">
      <w:pPr>
        <w:jc w:val="both"/>
        <w:rPr>
          <w:lang w:val="es-ES"/>
        </w:rPr>
      </w:pPr>
      <w:r>
        <w:rPr>
          <w:lang w:val="es-ES"/>
        </w:rPr>
        <w:t xml:space="preserve"> </w:t>
      </w:r>
    </w:p>
    <w:tbl>
      <w:tblPr>
        <w:tblW w:w="3360" w:type="dxa"/>
        <w:jc w:val="center"/>
        <w:tblCellMar>
          <w:left w:w="70" w:type="dxa"/>
          <w:right w:w="70" w:type="dxa"/>
        </w:tblCellMar>
        <w:tblLook w:val="04A0" w:firstRow="1" w:lastRow="0" w:firstColumn="1" w:lastColumn="0" w:noHBand="0" w:noVBand="1"/>
      </w:tblPr>
      <w:tblGrid>
        <w:gridCol w:w="1820"/>
        <w:gridCol w:w="1540"/>
      </w:tblGrid>
      <w:tr w:rsidR="00105248" w:rsidRPr="00B5010D" w:rsidTr="00E57F8B">
        <w:trPr>
          <w:trHeight w:val="600"/>
          <w:jc w:val="center"/>
        </w:trPr>
        <w:tc>
          <w:tcPr>
            <w:tcW w:w="1820" w:type="dxa"/>
            <w:tcBorders>
              <w:top w:val="single" w:sz="4" w:space="0" w:color="auto"/>
              <w:left w:val="single" w:sz="4" w:space="0" w:color="auto"/>
              <w:bottom w:val="single" w:sz="4" w:space="0" w:color="auto"/>
              <w:right w:val="single" w:sz="4" w:space="0" w:color="auto"/>
            </w:tcBorders>
            <w:shd w:val="clear" w:color="000000" w:fill="E7E6E6"/>
            <w:vAlign w:val="center"/>
            <w:hideMark/>
          </w:tcPr>
          <w:p w:rsidR="00105248" w:rsidRDefault="00105248" w:rsidP="00E57F8B">
            <w:pPr>
              <w:spacing w:after="0" w:line="240" w:lineRule="auto"/>
              <w:jc w:val="center"/>
              <w:rPr>
                <w:rFonts w:ascii="Calibri" w:eastAsia="Times New Roman" w:hAnsi="Calibri" w:cs="Calibri"/>
                <w:b/>
                <w:bCs/>
                <w:color w:val="000000"/>
                <w:lang w:eastAsia="es-CO"/>
              </w:rPr>
            </w:pPr>
          </w:p>
          <w:p w:rsidR="00105248" w:rsidRPr="00B5010D" w:rsidRDefault="00105248" w:rsidP="00E57F8B">
            <w:pPr>
              <w:spacing w:after="0" w:line="240" w:lineRule="auto"/>
              <w:jc w:val="center"/>
              <w:rPr>
                <w:rFonts w:ascii="Calibri" w:eastAsia="Times New Roman" w:hAnsi="Calibri" w:cs="Calibri"/>
                <w:b/>
                <w:bCs/>
                <w:color w:val="000000"/>
                <w:lang w:eastAsia="es-CO"/>
              </w:rPr>
            </w:pPr>
            <w:r w:rsidRPr="00B5010D">
              <w:rPr>
                <w:rFonts w:ascii="Calibri" w:eastAsia="Times New Roman" w:hAnsi="Calibri" w:cs="Calibri"/>
                <w:b/>
                <w:bCs/>
                <w:color w:val="000000"/>
                <w:lang w:eastAsia="es-CO"/>
              </w:rPr>
              <w:t>Rubro</w:t>
            </w:r>
          </w:p>
        </w:tc>
        <w:tc>
          <w:tcPr>
            <w:tcW w:w="1540" w:type="dxa"/>
            <w:tcBorders>
              <w:top w:val="single" w:sz="4" w:space="0" w:color="auto"/>
              <w:left w:val="nil"/>
              <w:bottom w:val="single" w:sz="4" w:space="0" w:color="auto"/>
              <w:right w:val="single" w:sz="4" w:space="0" w:color="auto"/>
            </w:tcBorders>
            <w:shd w:val="clear" w:color="000000" w:fill="E7E6E6"/>
            <w:vAlign w:val="center"/>
            <w:hideMark/>
          </w:tcPr>
          <w:p w:rsidR="00105248" w:rsidRPr="00B5010D" w:rsidRDefault="00105248" w:rsidP="00E57F8B">
            <w:pPr>
              <w:spacing w:after="0" w:line="240" w:lineRule="auto"/>
              <w:jc w:val="center"/>
              <w:rPr>
                <w:rFonts w:ascii="Calibri" w:eastAsia="Times New Roman" w:hAnsi="Calibri" w:cs="Calibri"/>
                <w:b/>
                <w:bCs/>
                <w:color w:val="000000"/>
                <w:lang w:eastAsia="es-CO"/>
              </w:rPr>
            </w:pPr>
            <w:r w:rsidRPr="00B5010D">
              <w:rPr>
                <w:rFonts w:ascii="Calibri" w:eastAsia="Times New Roman" w:hAnsi="Calibri" w:cs="Calibri"/>
                <w:b/>
                <w:bCs/>
                <w:color w:val="000000"/>
                <w:lang w:eastAsia="es-CO"/>
              </w:rPr>
              <w:t xml:space="preserve">Departamental </w:t>
            </w:r>
          </w:p>
        </w:tc>
      </w:tr>
      <w:tr w:rsidR="00105248" w:rsidRPr="00B5010D" w:rsidTr="00E57F8B">
        <w:trPr>
          <w:trHeight w:val="300"/>
          <w:jc w:val="center"/>
        </w:trPr>
        <w:tc>
          <w:tcPr>
            <w:tcW w:w="1820" w:type="dxa"/>
            <w:tcBorders>
              <w:top w:val="nil"/>
              <w:left w:val="single" w:sz="4" w:space="0" w:color="auto"/>
              <w:bottom w:val="single" w:sz="4" w:space="0" w:color="auto"/>
              <w:right w:val="single" w:sz="4" w:space="0" w:color="auto"/>
            </w:tcBorders>
            <w:shd w:val="clear" w:color="000000" w:fill="E7E6E6"/>
            <w:noWrap/>
            <w:vAlign w:val="bottom"/>
            <w:hideMark/>
          </w:tcPr>
          <w:p w:rsidR="00105248" w:rsidRPr="00B5010D" w:rsidRDefault="00105248" w:rsidP="00E57F8B">
            <w:pPr>
              <w:spacing w:after="0" w:line="240" w:lineRule="auto"/>
              <w:rPr>
                <w:rFonts w:ascii="Calibri" w:eastAsia="Times New Roman" w:hAnsi="Calibri" w:cs="Calibri"/>
                <w:b/>
                <w:bCs/>
                <w:color w:val="000000"/>
                <w:lang w:eastAsia="es-CO"/>
              </w:rPr>
            </w:pPr>
            <w:r w:rsidRPr="00B5010D">
              <w:rPr>
                <w:rFonts w:ascii="Calibri" w:eastAsia="Times New Roman" w:hAnsi="Calibri" w:cs="Calibri"/>
                <w:b/>
                <w:bCs/>
                <w:color w:val="000000"/>
                <w:lang w:eastAsia="es-CO"/>
              </w:rPr>
              <w:t xml:space="preserve">Educación </w:t>
            </w:r>
          </w:p>
        </w:tc>
        <w:tc>
          <w:tcPr>
            <w:tcW w:w="1540" w:type="dxa"/>
            <w:tcBorders>
              <w:top w:val="nil"/>
              <w:left w:val="nil"/>
              <w:bottom w:val="single" w:sz="4" w:space="0" w:color="auto"/>
              <w:right w:val="single" w:sz="4" w:space="0" w:color="auto"/>
            </w:tcBorders>
            <w:shd w:val="clear" w:color="auto" w:fill="auto"/>
            <w:noWrap/>
            <w:vAlign w:val="bottom"/>
            <w:hideMark/>
          </w:tcPr>
          <w:p w:rsidR="00105248" w:rsidRPr="00B5010D" w:rsidRDefault="00105248" w:rsidP="00E57F8B">
            <w:pPr>
              <w:spacing w:after="0" w:line="240" w:lineRule="auto"/>
              <w:jc w:val="center"/>
              <w:rPr>
                <w:rFonts w:ascii="Calibri" w:eastAsia="Times New Roman" w:hAnsi="Calibri" w:cs="Calibri"/>
                <w:color w:val="000000"/>
                <w:sz w:val="20"/>
                <w:szCs w:val="20"/>
                <w:lang w:eastAsia="es-CO"/>
              </w:rPr>
            </w:pPr>
            <w:r w:rsidRPr="00B5010D">
              <w:rPr>
                <w:rFonts w:ascii="Calibri" w:eastAsia="Times New Roman" w:hAnsi="Calibri" w:cs="Calibri"/>
                <w:color w:val="000000"/>
                <w:sz w:val="20"/>
                <w:szCs w:val="20"/>
                <w:lang w:eastAsia="es-CO"/>
              </w:rPr>
              <w:t>61,05%</w:t>
            </w:r>
          </w:p>
        </w:tc>
      </w:tr>
      <w:tr w:rsidR="00105248" w:rsidRPr="00B5010D" w:rsidTr="00E57F8B">
        <w:trPr>
          <w:trHeight w:val="300"/>
          <w:jc w:val="center"/>
        </w:trPr>
        <w:tc>
          <w:tcPr>
            <w:tcW w:w="1820" w:type="dxa"/>
            <w:tcBorders>
              <w:top w:val="nil"/>
              <w:left w:val="single" w:sz="4" w:space="0" w:color="auto"/>
              <w:bottom w:val="single" w:sz="4" w:space="0" w:color="auto"/>
              <w:right w:val="single" w:sz="4" w:space="0" w:color="auto"/>
            </w:tcBorders>
            <w:shd w:val="clear" w:color="000000" w:fill="E7E6E6"/>
            <w:noWrap/>
            <w:vAlign w:val="bottom"/>
            <w:hideMark/>
          </w:tcPr>
          <w:p w:rsidR="00105248" w:rsidRPr="00B5010D" w:rsidRDefault="00105248" w:rsidP="00E57F8B">
            <w:pPr>
              <w:spacing w:after="0" w:line="240" w:lineRule="auto"/>
              <w:rPr>
                <w:rFonts w:ascii="Calibri" w:eastAsia="Times New Roman" w:hAnsi="Calibri" w:cs="Calibri"/>
                <w:b/>
                <w:bCs/>
                <w:color w:val="000000"/>
                <w:lang w:eastAsia="es-CO"/>
              </w:rPr>
            </w:pPr>
            <w:r w:rsidRPr="00B5010D">
              <w:rPr>
                <w:rFonts w:ascii="Calibri" w:eastAsia="Times New Roman" w:hAnsi="Calibri" w:cs="Calibri"/>
                <w:b/>
                <w:bCs/>
                <w:color w:val="000000"/>
                <w:lang w:eastAsia="es-CO"/>
              </w:rPr>
              <w:t xml:space="preserve">Salud </w:t>
            </w:r>
          </w:p>
        </w:tc>
        <w:tc>
          <w:tcPr>
            <w:tcW w:w="1540" w:type="dxa"/>
            <w:tcBorders>
              <w:top w:val="nil"/>
              <w:left w:val="nil"/>
              <w:bottom w:val="single" w:sz="4" w:space="0" w:color="auto"/>
              <w:right w:val="single" w:sz="4" w:space="0" w:color="auto"/>
            </w:tcBorders>
            <w:shd w:val="clear" w:color="auto" w:fill="auto"/>
            <w:noWrap/>
            <w:vAlign w:val="bottom"/>
            <w:hideMark/>
          </w:tcPr>
          <w:p w:rsidR="00105248" w:rsidRPr="00B5010D" w:rsidRDefault="00105248" w:rsidP="00E57F8B">
            <w:pPr>
              <w:spacing w:after="0" w:line="240" w:lineRule="auto"/>
              <w:jc w:val="center"/>
              <w:rPr>
                <w:rFonts w:ascii="Calibri" w:eastAsia="Times New Roman" w:hAnsi="Calibri" w:cs="Calibri"/>
                <w:color w:val="000000"/>
                <w:sz w:val="20"/>
                <w:szCs w:val="20"/>
                <w:lang w:eastAsia="es-CO"/>
              </w:rPr>
            </w:pPr>
            <w:r w:rsidRPr="00B5010D">
              <w:rPr>
                <w:rFonts w:ascii="Calibri" w:eastAsia="Times New Roman" w:hAnsi="Calibri" w:cs="Calibri"/>
                <w:color w:val="000000"/>
                <w:sz w:val="20"/>
                <w:szCs w:val="20"/>
                <w:lang w:eastAsia="es-CO"/>
              </w:rPr>
              <w:t>92,52%</w:t>
            </w:r>
          </w:p>
        </w:tc>
      </w:tr>
      <w:tr w:rsidR="00105248" w:rsidRPr="00B5010D" w:rsidTr="00E57F8B">
        <w:trPr>
          <w:trHeight w:val="300"/>
          <w:jc w:val="center"/>
        </w:trPr>
        <w:tc>
          <w:tcPr>
            <w:tcW w:w="1820" w:type="dxa"/>
            <w:tcBorders>
              <w:top w:val="nil"/>
              <w:left w:val="single" w:sz="4" w:space="0" w:color="auto"/>
              <w:bottom w:val="single" w:sz="4" w:space="0" w:color="auto"/>
              <w:right w:val="single" w:sz="4" w:space="0" w:color="auto"/>
            </w:tcBorders>
            <w:shd w:val="clear" w:color="000000" w:fill="E7E6E6"/>
            <w:noWrap/>
            <w:vAlign w:val="bottom"/>
            <w:hideMark/>
          </w:tcPr>
          <w:p w:rsidR="00105248" w:rsidRPr="00B5010D" w:rsidRDefault="00105248" w:rsidP="00E57F8B">
            <w:pPr>
              <w:spacing w:after="0" w:line="240" w:lineRule="auto"/>
              <w:rPr>
                <w:rFonts w:ascii="Calibri" w:eastAsia="Times New Roman" w:hAnsi="Calibri" w:cs="Calibri"/>
                <w:b/>
                <w:bCs/>
                <w:color w:val="000000"/>
                <w:lang w:eastAsia="es-CO"/>
              </w:rPr>
            </w:pPr>
            <w:r w:rsidRPr="00B5010D">
              <w:rPr>
                <w:rFonts w:ascii="Calibri" w:eastAsia="Times New Roman" w:hAnsi="Calibri" w:cs="Calibri"/>
                <w:b/>
                <w:bCs/>
                <w:color w:val="000000"/>
                <w:lang w:eastAsia="es-CO"/>
              </w:rPr>
              <w:t>Agua</w:t>
            </w:r>
          </w:p>
        </w:tc>
        <w:tc>
          <w:tcPr>
            <w:tcW w:w="1540" w:type="dxa"/>
            <w:tcBorders>
              <w:top w:val="nil"/>
              <w:left w:val="nil"/>
              <w:bottom w:val="single" w:sz="4" w:space="0" w:color="auto"/>
              <w:right w:val="single" w:sz="4" w:space="0" w:color="auto"/>
            </w:tcBorders>
            <w:shd w:val="clear" w:color="auto" w:fill="auto"/>
            <w:noWrap/>
            <w:vAlign w:val="bottom"/>
            <w:hideMark/>
          </w:tcPr>
          <w:p w:rsidR="00105248" w:rsidRPr="00B5010D" w:rsidRDefault="00105248" w:rsidP="00E57F8B">
            <w:pPr>
              <w:spacing w:after="0" w:line="240" w:lineRule="auto"/>
              <w:jc w:val="center"/>
              <w:rPr>
                <w:rFonts w:ascii="Calibri" w:eastAsia="Times New Roman" w:hAnsi="Calibri" w:cs="Calibri"/>
                <w:color w:val="000000"/>
                <w:sz w:val="20"/>
                <w:szCs w:val="20"/>
                <w:lang w:eastAsia="es-CO"/>
              </w:rPr>
            </w:pPr>
            <w:r w:rsidRPr="00B5010D">
              <w:rPr>
                <w:rFonts w:ascii="Calibri" w:eastAsia="Times New Roman" w:hAnsi="Calibri" w:cs="Calibri"/>
                <w:color w:val="000000"/>
                <w:sz w:val="20"/>
                <w:szCs w:val="20"/>
                <w:lang w:eastAsia="es-CO"/>
              </w:rPr>
              <w:t>46,66%</w:t>
            </w:r>
          </w:p>
        </w:tc>
      </w:tr>
      <w:tr w:rsidR="00105248" w:rsidRPr="00B5010D" w:rsidTr="00E57F8B">
        <w:trPr>
          <w:trHeight w:val="300"/>
          <w:jc w:val="center"/>
        </w:trPr>
        <w:tc>
          <w:tcPr>
            <w:tcW w:w="1820" w:type="dxa"/>
            <w:tcBorders>
              <w:top w:val="nil"/>
              <w:left w:val="single" w:sz="4" w:space="0" w:color="auto"/>
              <w:bottom w:val="single" w:sz="4" w:space="0" w:color="auto"/>
              <w:right w:val="single" w:sz="4" w:space="0" w:color="auto"/>
            </w:tcBorders>
            <w:shd w:val="clear" w:color="000000" w:fill="E7E6E6"/>
            <w:noWrap/>
            <w:vAlign w:val="bottom"/>
            <w:hideMark/>
          </w:tcPr>
          <w:p w:rsidR="00105248" w:rsidRPr="00B5010D" w:rsidRDefault="00105248" w:rsidP="00E57F8B">
            <w:pPr>
              <w:spacing w:after="0" w:line="240" w:lineRule="auto"/>
              <w:rPr>
                <w:rFonts w:ascii="Calibri" w:eastAsia="Times New Roman" w:hAnsi="Calibri" w:cs="Calibri"/>
                <w:b/>
                <w:bCs/>
                <w:color w:val="000000"/>
                <w:lang w:eastAsia="es-CO"/>
              </w:rPr>
            </w:pPr>
            <w:r w:rsidRPr="00B5010D">
              <w:rPr>
                <w:rFonts w:ascii="Calibri" w:eastAsia="Times New Roman" w:hAnsi="Calibri" w:cs="Calibri"/>
                <w:b/>
                <w:bCs/>
                <w:color w:val="000000"/>
                <w:lang w:eastAsia="es-CO"/>
              </w:rPr>
              <w:t>Libre destinación</w:t>
            </w:r>
          </w:p>
        </w:tc>
        <w:tc>
          <w:tcPr>
            <w:tcW w:w="1540" w:type="dxa"/>
            <w:tcBorders>
              <w:top w:val="nil"/>
              <w:left w:val="nil"/>
              <w:bottom w:val="single" w:sz="4" w:space="0" w:color="auto"/>
              <w:right w:val="single" w:sz="4" w:space="0" w:color="auto"/>
            </w:tcBorders>
            <w:shd w:val="clear" w:color="auto" w:fill="auto"/>
            <w:noWrap/>
            <w:vAlign w:val="bottom"/>
            <w:hideMark/>
          </w:tcPr>
          <w:p w:rsidR="00105248" w:rsidRPr="00B5010D" w:rsidRDefault="00105248" w:rsidP="00E57F8B">
            <w:pPr>
              <w:spacing w:after="0" w:line="240" w:lineRule="auto"/>
              <w:jc w:val="center"/>
              <w:rPr>
                <w:rFonts w:ascii="Calibri" w:eastAsia="Times New Roman" w:hAnsi="Calibri" w:cs="Calibri"/>
                <w:color w:val="000000"/>
                <w:sz w:val="20"/>
                <w:szCs w:val="20"/>
                <w:lang w:eastAsia="es-CO"/>
              </w:rPr>
            </w:pPr>
            <w:r w:rsidRPr="00B5010D">
              <w:rPr>
                <w:rFonts w:ascii="Calibri" w:eastAsia="Times New Roman" w:hAnsi="Calibri" w:cs="Calibri"/>
                <w:color w:val="000000"/>
                <w:sz w:val="20"/>
                <w:szCs w:val="20"/>
                <w:lang w:eastAsia="es-CO"/>
              </w:rPr>
              <w:t>36,42%</w:t>
            </w:r>
          </w:p>
        </w:tc>
      </w:tr>
      <w:tr w:rsidR="00105248" w:rsidRPr="00B5010D" w:rsidTr="00E57F8B">
        <w:trPr>
          <w:trHeight w:val="300"/>
          <w:jc w:val="center"/>
        </w:trPr>
        <w:tc>
          <w:tcPr>
            <w:tcW w:w="1820" w:type="dxa"/>
            <w:tcBorders>
              <w:top w:val="nil"/>
              <w:left w:val="single" w:sz="4" w:space="0" w:color="auto"/>
              <w:bottom w:val="single" w:sz="4" w:space="0" w:color="auto"/>
              <w:right w:val="single" w:sz="4" w:space="0" w:color="auto"/>
            </w:tcBorders>
            <w:shd w:val="clear" w:color="000000" w:fill="E7E6E6"/>
            <w:noWrap/>
            <w:vAlign w:val="bottom"/>
            <w:hideMark/>
          </w:tcPr>
          <w:p w:rsidR="00105248" w:rsidRPr="00B5010D" w:rsidRDefault="00105248" w:rsidP="00E57F8B">
            <w:pPr>
              <w:spacing w:after="0" w:line="240" w:lineRule="auto"/>
              <w:rPr>
                <w:rFonts w:ascii="Calibri" w:eastAsia="Times New Roman" w:hAnsi="Calibri" w:cs="Calibri"/>
                <w:b/>
                <w:bCs/>
                <w:color w:val="000000"/>
                <w:lang w:eastAsia="es-CO"/>
              </w:rPr>
            </w:pPr>
            <w:r w:rsidRPr="00B5010D">
              <w:rPr>
                <w:rFonts w:ascii="Calibri" w:eastAsia="Times New Roman" w:hAnsi="Calibri" w:cs="Calibri"/>
                <w:b/>
                <w:bCs/>
                <w:color w:val="000000"/>
                <w:lang w:eastAsia="es-CO"/>
              </w:rPr>
              <w:t>Deporte</w:t>
            </w:r>
          </w:p>
        </w:tc>
        <w:tc>
          <w:tcPr>
            <w:tcW w:w="1540" w:type="dxa"/>
            <w:tcBorders>
              <w:top w:val="nil"/>
              <w:left w:val="nil"/>
              <w:bottom w:val="single" w:sz="4" w:space="0" w:color="auto"/>
              <w:right w:val="single" w:sz="4" w:space="0" w:color="auto"/>
            </w:tcBorders>
            <w:shd w:val="clear" w:color="auto" w:fill="auto"/>
            <w:noWrap/>
            <w:vAlign w:val="bottom"/>
            <w:hideMark/>
          </w:tcPr>
          <w:p w:rsidR="00105248" w:rsidRPr="00B5010D" w:rsidRDefault="00105248" w:rsidP="00E57F8B">
            <w:pPr>
              <w:spacing w:after="0" w:line="240" w:lineRule="auto"/>
              <w:jc w:val="center"/>
              <w:rPr>
                <w:rFonts w:ascii="Calibri" w:eastAsia="Times New Roman" w:hAnsi="Calibri" w:cs="Calibri"/>
                <w:color w:val="000000"/>
                <w:sz w:val="20"/>
                <w:szCs w:val="20"/>
                <w:lang w:eastAsia="es-CO"/>
              </w:rPr>
            </w:pPr>
            <w:r w:rsidRPr="00B5010D">
              <w:rPr>
                <w:rFonts w:ascii="Calibri" w:eastAsia="Times New Roman" w:hAnsi="Calibri" w:cs="Calibri"/>
                <w:color w:val="000000"/>
                <w:sz w:val="20"/>
                <w:szCs w:val="20"/>
                <w:lang w:eastAsia="es-CO"/>
              </w:rPr>
              <w:t>85,53%</w:t>
            </w:r>
          </w:p>
        </w:tc>
      </w:tr>
      <w:tr w:rsidR="00105248" w:rsidRPr="00B5010D" w:rsidTr="00E57F8B">
        <w:trPr>
          <w:trHeight w:val="300"/>
          <w:jc w:val="center"/>
        </w:trPr>
        <w:tc>
          <w:tcPr>
            <w:tcW w:w="1820" w:type="dxa"/>
            <w:tcBorders>
              <w:top w:val="nil"/>
              <w:left w:val="single" w:sz="4" w:space="0" w:color="auto"/>
              <w:bottom w:val="single" w:sz="4" w:space="0" w:color="auto"/>
              <w:right w:val="single" w:sz="4" w:space="0" w:color="auto"/>
            </w:tcBorders>
            <w:shd w:val="clear" w:color="000000" w:fill="E7E6E6"/>
            <w:noWrap/>
            <w:vAlign w:val="bottom"/>
            <w:hideMark/>
          </w:tcPr>
          <w:p w:rsidR="00105248" w:rsidRPr="00B5010D" w:rsidRDefault="00105248" w:rsidP="00E57F8B">
            <w:pPr>
              <w:spacing w:after="0" w:line="240" w:lineRule="auto"/>
              <w:rPr>
                <w:rFonts w:ascii="Calibri" w:eastAsia="Times New Roman" w:hAnsi="Calibri" w:cs="Calibri"/>
                <w:b/>
                <w:bCs/>
                <w:color w:val="000000"/>
                <w:lang w:eastAsia="es-CO"/>
              </w:rPr>
            </w:pPr>
            <w:r w:rsidRPr="00B5010D">
              <w:rPr>
                <w:rFonts w:ascii="Calibri" w:eastAsia="Times New Roman" w:hAnsi="Calibri" w:cs="Calibri"/>
                <w:b/>
                <w:bCs/>
                <w:color w:val="000000"/>
                <w:lang w:eastAsia="es-CO"/>
              </w:rPr>
              <w:t xml:space="preserve"> Cultura </w:t>
            </w:r>
          </w:p>
        </w:tc>
        <w:tc>
          <w:tcPr>
            <w:tcW w:w="1540" w:type="dxa"/>
            <w:tcBorders>
              <w:top w:val="nil"/>
              <w:left w:val="nil"/>
              <w:bottom w:val="single" w:sz="4" w:space="0" w:color="auto"/>
              <w:right w:val="single" w:sz="4" w:space="0" w:color="auto"/>
            </w:tcBorders>
            <w:shd w:val="clear" w:color="auto" w:fill="auto"/>
            <w:noWrap/>
            <w:vAlign w:val="bottom"/>
            <w:hideMark/>
          </w:tcPr>
          <w:p w:rsidR="00105248" w:rsidRPr="00B5010D" w:rsidRDefault="00105248" w:rsidP="00E57F8B">
            <w:pPr>
              <w:spacing w:after="0" w:line="240" w:lineRule="auto"/>
              <w:jc w:val="center"/>
              <w:rPr>
                <w:rFonts w:ascii="Calibri" w:eastAsia="Times New Roman" w:hAnsi="Calibri" w:cs="Calibri"/>
                <w:color w:val="000000"/>
                <w:sz w:val="20"/>
                <w:szCs w:val="20"/>
                <w:lang w:eastAsia="es-CO"/>
              </w:rPr>
            </w:pPr>
            <w:r w:rsidRPr="00B5010D">
              <w:rPr>
                <w:rFonts w:ascii="Calibri" w:eastAsia="Times New Roman" w:hAnsi="Calibri" w:cs="Calibri"/>
                <w:color w:val="000000"/>
                <w:sz w:val="20"/>
                <w:szCs w:val="20"/>
                <w:lang w:eastAsia="es-CO"/>
              </w:rPr>
              <w:t>90,23%</w:t>
            </w:r>
          </w:p>
        </w:tc>
      </w:tr>
      <w:tr w:rsidR="00105248" w:rsidRPr="00B5010D" w:rsidTr="00E57F8B">
        <w:trPr>
          <w:trHeight w:val="300"/>
          <w:jc w:val="center"/>
        </w:trPr>
        <w:tc>
          <w:tcPr>
            <w:tcW w:w="1820" w:type="dxa"/>
            <w:tcBorders>
              <w:top w:val="nil"/>
              <w:left w:val="single" w:sz="4" w:space="0" w:color="auto"/>
              <w:bottom w:val="single" w:sz="4" w:space="0" w:color="auto"/>
              <w:right w:val="single" w:sz="4" w:space="0" w:color="auto"/>
            </w:tcBorders>
            <w:shd w:val="clear" w:color="000000" w:fill="E7E6E6"/>
            <w:noWrap/>
            <w:vAlign w:val="bottom"/>
            <w:hideMark/>
          </w:tcPr>
          <w:p w:rsidR="00105248" w:rsidRPr="00B5010D" w:rsidRDefault="00105248" w:rsidP="00E57F8B">
            <w:pPr>
              <w:spacing w:after="0" w:line="240" w:lineRule="auto"/>
              <w:rPr>
                <w:rFonts w:ascii="Calibri" w:eastAsia="Times New Roman" w:hAnsi="Calibri" w:cs="Calibri"/>
                <w:b/>
                <w:bCs/>
                <w:color w:val="000000"/>
                <w:lang w:eastAsia="es-CO"/>
              </w:rPr>
            </w:pPr>
            <w:r w:rsidRPr="00B5010D">
              <w:rPr>
                <w:rFonts w:ascii="Calibri" w:eastAsia="Times New Roman" w:hAnsi="Calibri" w:cs="Calibri"/>
                <w:b/>
                <w:bCs/>
                <w:color w:val="000000"/>
                <w:lang w:eastAsia="es-CO"/>
              </w:rPr>
              <w:t>Libre Inversión</w:t>
            </w:r>
          </w:p>
        </w:tc>
        <w:tc>
          <w:tcPr>
            <w:tcW w:w="1540" w:type="dxa"/>
            <w:tcBorders>
              <w:top w:val="nil"/>
              <w:left w:val="nil"/>
              <w:bottom w:val="single" w:sz="4" w:space="0" w:color="auto"/>
              <w:right w:val="single" w:sz="4" w:space="0" w:color="auto"/>
            </w:tcBorders>
            <w:shd w:val="clear" w:color="auto" w:fill="auto"/>
            <w:noWrap/>
            <w:vAlign w:val="bottom"/>
            <w:hideMark/>
          </w:tcPr>
          <w:p w:rsidR="00105248" w:rsidRPr="00B5010D" w:rsidRDefault="00105248" w:rsidP="00E57F8B">
            <w:pPr>
              <w:spacing w:after="0" w:line="240" w:lineRule="auto"/>
              <w:jc w:val="center"/>
              <w:rPr>
                <w:rFonts w:ascii="Calibri" w:eastAsia="Times New Roman" w:hAnsi="Calibri" w:cs="Calibri"/>
                <w:color w:val="000000"/>
                <w:sz w:val="20"/>
                <w:szCs w:val="20"/>
                <w:lang w:eastAsia="es-CO"/>
              </w:rPr>
            </w:pPr>
            <w:r w:rsidRPr="00B5010D">
              <w:rPr>
                <w:rFonts w:ascii="Calibri" w:eastAsia="Times New Roman" w:hAnsi="Calibri" w:cs="Calibri"/>
                <w:color w:val="000000"/>
                <w:sz w:val="20"/>
                <w:szCs w:val="20"/>
                <w:lang w:eastAsia="es-CO"/>
              </w:rPr>
              <w:t>55,74%</w:t>
            </w:r>
          </w:p>
        </w:tc>
      </w:tr>
      <w:tr w:rsidR="00105248" w:rsidRPr="00B5010D" w:rsidTr="00E57F8B">
        <w:trPr>
          <w:trHeight w:val="300"/>
          <w:jc w:val="center"/>
        </w:trPr>
        <w:tc>
          <w:tcPr>
            <w:tcW w:w="1820" w:type="dxa"/>
            <w:tcBorders>
              <w:top w:val="nil"/>
              <w:left w:val="single" w:sz="4" w:space="0" w:color="auto"/>
              <w:bottom w:val="single" w:sz="4" w:space="0" w:color="auto"/>
              <w:right w:val="single" w:sz="4" w:space="0" w:color="auto"/>
            </w:tcBorders>
            <w:shd w:val="clear" w:color="000000" w:fill="E7E6E6"/>
            <w:noWrap/>
            <w:vAlign w:val="bottom"/>
            <w:hideMark/>
          </w:tcPr>
          <w:p w:rsidR="00105248" w:rsidRPr="00B5010D" w:rsidRDefault="00105248" w:rsidP="00E57F8B">
            <w:pPr>
              <w:spacing w:after="0" w:line="240" w:lineRule="auto"/>
              <w:rPr>
                <w:rFonts w:ascii="Calibri" w:eastAsia="Times New Roman" w:hAnsi="Calibri" w:cs="Calibri"/>
                <w:b/>
                <w:bCs/>
                <w:color w:val="000000"/>
                <w:lang w:eastAsia="es-CO"/>
              </w:rPr>
            </w:pPr>
            <w:r w:rsidRPr="00B5010D">
              <w:rPr>
                <w:rFonts w:ascii="Calibri" w:eastAsia="Times New Roman" w:hAnsi="Calibri" w:cs="Calibri"/>
                <w:b/>
                <w:bCs/>
                <w:color w:val="000000"/>
                <w:lang w:eastAsia="es-CO"/>
              </w:rPr>
              <w:t xml:space="preserve">Alimentación </w:t>
            </w:r>
          </w:p>
        </w:tc>
        <w:tc>
          <w:tcPr>
            <w:tcW w:w="1540" w:type="dxa"/>
            <w:tcBorders>
              <w:top w:val="nil"/>
              <w:left w:val="nil"/>
              <w:bottom w:val="single" w:sz="4" w:space="0" w:color="auto"/>
              <w:right w:val="single" w:sz="4" w:space="0" w:color="auto"/>
            </w:tcBorders>
            <w:shd w:val="clear" w:color="auto" w:fill="auto"/>
            <w:noWrap/>
            <w:vAlign w:val="bottom"/>
            <w:hideMark/>
          </w:tcPr>
          <w:p w:rsidR="00105248" w:rsidRPr="00B5010D" w:rsidRDefault="00105248" w:rsidP="00E57F8B">
            <w:pPr>
              <w:spacing w:after="0" w:line="240" w:lineRule="auto"/>
              <w:jc w:val="center"/>
              <w:rPr>
                <w:rFonts w:ascii="Calibri" w:eastAsia="Times New Roman" w:hAnsi="Calibri" w:cs="Calibri"/>
                <w:color w:val="000000"/>
                <w:sz w:val="20"/>
                <w:szCs w:val="20"/>
                <w:lang w:eastAsia="es-CO"/>
              </w:rPr>
            </w:pPr>
            <w:r w:rsidRPr="00B5010D">
              <w:rPr>
                <w:rFonts w:ascii="Calibri" w:eastAsia="Times New Roman" w:hAnsi="Calibri" w:cs="Calibri"/>
                <w:color w:val="000000"/>
                <w:sz w:val="20"/>
                <w:szCs w:val="20"/>
                <w:lang w:eastAsia="es-CO"/>
              </w:rPr>
              <w:t>56,91%</w:t>
            </w:r>
          </w:p>
        </w:tc>
      </w:tr>
    </w:tbl>
    <w:p w:rsidR="00105248" w:rsidRDefault="00105248" w:rsidP="00105248">
      <w:pPr>
        <w:jc w:val="center"/>
        <w:rPr>
          <w:sz w:val="18"/>
          <w:lang w:val="es-ES"/>
        </w:rPr>
      </w:pPr>
      <w:r w:rsidRPr="00EB55B2">
        <w:rPr>
          <w:sz w:val="18"/>
          <w:lang w:val="es-ES"/>
        </w:rPr>
        <w:t>Fuente: Elaboración propia del autor, datos DNP a partir del SICODIS SGP (2016)</w:t>
      </w:r>
    </w:p>
    <w:p w:rsidR="00105248" w:rsidRPr="00EB55B2" w:rsidRDefault="00105248" w:rsidP="00105248">
      <w:pPr>
        <w:jc w:val="center"/>
        <w:rPr>
          <w:sz w:val="18"/>
          <w:lang w:val="es-ES"/>
        </w:rPr>
      </w:pPr>
    </w:p>
    <w:p w:rsidR="00105248" w:rsidRDefault="00105248" w:rsidP="00105248">
      <w:pPr>
        <w:jc w:val="both"/>
        <w:rPr>
          <w:lang w:val="es-ES"/>
        </w:rPr>
      </w:pPr>
    </w:p>
    <w:p w:rsidR="00105248" w:rsidRDefault="00105248" w:rsidP="00330D5C">
      <w:pPr>
        <w:pStyle w:val="Ttulo4"/>
        <w:rPr>
          <w:lang w:val="es-ES"/>
        </w:rPr>
      </w:pPr>
      <w:r w:rsidRPr="00C43502">
        <w:rPr>
          <w:lang w:val="es-ES"/>
        </w:rPr>
        <w:t>1%</w:t>
      </w:r>
      <w:r>
        <w:rPr>
          <w:lang w:val="es-ES"/>
        </w:rPr>
        <w:t xml:space="preserve"> de los</w:t>
      </w:r>
      <w:r w:rsidRPr="00C43502">
        <w:rPr>
          <w:lang w:val="es-ES"/>
        </w:rPr>
        <w:t xml:space="preserve"> Ingresos Corrientes </w:t>
      </w:r>
    </w:p>
    <w:p w:rsidR="00105248" w:rsidRDefault="00105248" w:rsidP="00105248">
      <w:pPr>
        <w:jc w:val="both"/>
        <w:rPr>
          <w:lang w:val="es-ES"/>
        </w:rPr>
      </w:pPr>
      <w:r w:rsidRPr="00EA5F70">
        <w:rPr>
          <w:lang w:val="es-ES"/>
        </w:rPr>
        <w:t>De acuerd</w:t>
      </w:r>
      <w:r>
        <w:rPr>
          <w:lang w:val="es-ES"/>
        </w:rPr>
        <w:t xml:space="preserve">o con el artículo 111 de la ley 99 de 1993, se dispuso que los departamento y municipios dedicaran un porcentaje no inferior al 1% de sus ingresos corrientes para la adquisición y mantenimiento de las áreas estrategias para la conservación de recursos hídricos que surten de agua a los acueducto municipales, distritales y regionales, o para el financiamiento de esquemas de pago por servicios ambientales en dichas áreas. </w:t>
      </w:r>
    </w:p>
    <w:p w:rsidR="00105248" w:rsidRPr="00C43502" w:rsidRDefault="00105248" w:rsidP="00105248">
      <w:pPr>
        <w:jc w:val="both"/>
        <w:rPr>
          <w:lang w:val="es-ES"/>
        </w:rPr>
      </w:pPr>
      <w:r>
        <w:rPr>
          <w:lang w:val="es-ES"/>
        </w:rPr>
        <w:t xml:space="preserve">Teniendo en cuenta la información del Departamento Nacional de Planeación sobre ejecución presupuestales, la siguiente tabla muestra los ingresos corrientes desde el 2008 al 2012 en precios constantes. </w:t>
      </w:r>
    </w:p>
    <w:tbl>
      <w:tblPr>
        <w:tblW w:w="5400" w:type="dxa"/>
        <w:jc w:val="center"/>
        <w:tblCellMar>
          <w:left w:w="70" w:type="dxa"/>
          <w:right w:w="70" w:type="dxa"/>
        </w:tblCellMar>
        <w:tblLook w:val="04A0" w:firstRow="1" w:lastRow="0" w:firstColumn="1" w:lastColumn="0" w:noHBand="0" w:noVBand="1"/>
      </w:tblPr>
      <w:tblGrid>
        <w:gridCol w:w="1080"/>
        <w:gridCol w:w="1080"/>
        <w:gridCol w:w="1080"/>
        <w:gridCol w:w="1080"/>
        <w:gridCol w:w="1080"/>
      </w:tblGrid>
      <w:tr w:rsidR="00105248" w:rsidRPr="00166D68" w:rsidTr="00E57F8B">
        <w:trPr>
          <w:trHeight w:val="225"/>
          <w:jc w:val="center"/>
        </w:trPr>
        <w:tc>
          <w:tcPr>
            <w:tcW w:w="5400" w:type="dxa"/>
            <w:gridSpan w:val="5"/>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105248" w:rsidRPr="00166D68" w:rsidRDefault="00105248" w:rsidP="00E57F8B">
            <w:pPr>
              <w:spacing w:after="0" w:line="240" w:lineRule="auto"/>
              <w:jc w:val="center"/>
              <w:rPr>
                <w:rFonts w:ascii="Calibri" w:eastAsia="Times New Roman" w:hAnsi="Calibri" w:cs="Calibri"/>
                <w:b/>
                <w:bCs/>
                <w:sz w:val="16"/>
                <w:szCs w:val="16"/>
                <w:lang w:eastAsia="es-CO"/>
              </w:rPr>
            </w:pPr>
            <w:r w:rsidRPr="00166D68">
              <w:rPr>
                <w:rFonts w:ascii="Calibri" w:eastAsia="Times New Roman" w:hAnsi="Calibri" w:cs="Calibri"/>
                <w:b/>
                <w:bCs/>
                <w:sz w:val="16"/>
                <w:szCs w:val="16"/>
                <w:lang w:eastAsia="es-CO"/>
              </w:rPr>
              <w:t xml:space="preserve">INGRESOS CORRIENTES CAQUETA (millones de pesos constantes) </w:t>
            </w:r>
          </w:p>
        </w:tc>
      </w:tr>
      <w:tr w:rsidR="00105248" w:rsidRPr="00166D68" w:rsidTr="00E57F8B">
        <w:trPr>
          <w:trHeight w:val="225"/>
          <w:jc w:val="center"/>
        </w:trPr>
        <w:tc>
          <w:tcPr>
            <w:tcW w:w="1080" w:type="dxa"/>
            <w:tcBorders>
              <w:top w:val="nil"/>
              <w:left w:val="single" w:sz="4" w:space="0" w:color="auto"/>
              <w:bottom w:val="single" w:sz="4" w:space="0" w:color="auto"/>
              <w:right w:val="single" w:sz="4" w:space="0" w:color="auto"/>
            </w:tcBorders>
            <w:shd w:val="clear" w:color="000000" w:fill="DCE6F1"/>
            <w:noWrap/>
            <w:vAlign w:val="bottom"/>
            <w:hideMark/>
          </w:tcPr>
          <w:p w:rsidR="00105248" w:rsidRPr="00166D68" w:rsidRDefault="00105248" w:rsidP="00E57F8B">
            <w:pPr>
              <w:spacing w:after="0" w:line="240" w:lineRule="auto"/>
              <w:jc w:val="center"/>
              <w:rPr>
                <w:rFonts w:ascii="Calibri" w:eastAsia="Times New Roman" w:hAnsi="Calibri" w:cs="Calibri"/>
                <w:b/>
                <w:bCs/>
                <w:sz w:val="16"/>
                <w:szCs w:val="16"/>
                <w:lang w:eastAsia="es-CO"/>
              </w:rPr>
            </w:pPr>
            <w:r w:rsidRPr="00166D68">
              <w:rPr>
                <w:rFonts w:ascii="Calibri" w:eastAsia="Times New Roman" w:hAnsi="Calibri" w:cs="Calibri"/>
                <w:b/>
                <w:bCs/>
                <w:sz w:val="16"/>
                <w:szCs w:val="16"/>
                <w:lang w:eastAsia="es-CO"/>
              </w:rPr>
              <w:t>2008</w:t>
            </w:r>
          </w:p>
        </w:tc>
        <w:tc>
          <w:tcPr>
            <w:tcW w:w="1080" w:type="dxa"/>
            <w:tcBorders>
              <w:top w:val="nil"/>
              <w:left w:val="nil"/>
              <w:bottom w:val="single" w:sz="4" w:space="0" w:color="auto"/>
              <w:right w:val="single" w:sz="4" w:space="0" w:color="auto"/>
            </w:tcBorders>
            <w:shd w:val="clear" w:color="000000" w:fill="DCE6F1"/>
            <w:noWrap/>
            <w:vAlign w:val="bottom"/>
            <w:hideMark/>
          </w:tcPr>
          <w:p w:rsidR="00105248" w:rsidRPr="00166D68" w:rsidRDefault="00105248" w:rsidP="00E57F8B">
            <w:pPr>
              <w:spacing w:after="0" w:line="240" w:lineRule="auto"/>
              <w:jc w:val="center"/>
              <w:rPr>
                <w:rFonts w:ascii="Calibri" w:eastAsia="Times New Roman" w:hAnsi="Calibri" w:cs="Calibri"/>
                <w:b/>
                <w:bCs/>
                <w:sz w:val="16"/>
                <w:szCs w:val="16"/>
                <w:lang w:eastAsia="es-CO"/>
              </w:rPr>
            </w:pPr>
            <w:r w:rsidRPr="00166D68">
              <w:rPr>
                <w:rFonts w:ascii="Calibri" w:eastAsia="Times New Roman" w:hAnsi="Calibri" w:cs="Calibri"/>
                <w:b/>
                <w:bCs/>
                <w:sz w:val="16"/>
                <w:szCs w:val="16"/>
                <w:lang w:eastAsia="es-CO"/>
              </w:rPr>
              <w:t>2009</w:t>
            </w:r>
          </w:p>
        </w:tc>
        <w:tc>
          <w:tcPr>
            <w:tcW w:w="1080" w:type="dxa"/>
            <w:tcBorders>
              <w:top w:val="nil"/>
              <w:left w:val="nil"/>
              <w:bottom w:val="single" w:sz="4" w:space="0" w:color="auto"/>
              <w:right w:val="single" w:sz="4" w:space="0" w:color="auto"/>
            </w:tcBorders>
            <w:shd w:val="clear" w:color="000000" w:fill="DCE6F1"/>
            <w:noWrap/>
            <w:vAlign w:val="bottom"/>
            <w:hideMark/>
          </w:tcPr>
          <w:p w:rsidR="00105248" w:rsidRPr="00166D68" w:rsidRDefault="00105248" w:rsidP="00E57F8B">
            <w:pPr>
              <w:spacing w:after="0" w:line="240" w:lineRule="auto"/>
              <w:jc w:val="center"/>
              <w:rPr>
                <w:rFonts w:ascii="Calibri" w:eastAsia="Times New Roman" w:hAnsi="Calibri" w:cs="Calibri"/>
                <w:b/>
                <w:bCs/>
                <w:sz w:val="16"/>
                <w:szCs w:val="16"/>
                <w:lang w:eastAsia="es-CO"/>
              </w:rPr>
            </w:pPr>
            <w:r w:rsidRPr="00166D68">
              <w:rPr>
                <w:rFonts w:ascii="Calibri" w:eastAsia="Times New Roman" w:hAnsi="Calibri" w:cs="Calibri"/>
                <w:b/>
                <w:bCs/>
                <w:sz w:val="16"/>
                <w:szCs w:val="16"/>
                <w:lang w:eastAsia="es-CO"/>
              </w:rPr>
              <w:t>2010</w:t>
            </w:r>
          </w:p>
        </w:tc>
        <w:tc>
          <w:tcPr>
            <w:tcW w:w="1080" w:type="dxa"/>
            <w:tcBorders>
              <w:top w:val="nil"/>
              <w:left w:val="nil"/>
              <w:bottom w:val="single" w:sz="4" w:space="0" w:color="auto"/>
              <w:right w:val="single" w:sz="4" w:space="0" w:color="auto"/>
            </w:tcBorders>
            <w:shd w:val="clear" w:color="000000" w:fill="DCE6F1"/>
            <w:noWrap/>
            <w:vAlign w:val="bottom"/>
            <w:hideMark/>
          </w:tcPr>
          <w:p w:rsidR="00105248" w:rsidRPr="00166D68" w:rsidRDefault="00105248" w:rsidP="00E57F8B">
            <w:pPr>
              <w:spacing w:after="0" w:line="240" w:lineRule="auto"/>
              <w:jc w:val="center"/>
              <w:rPr>
                <w:rFonts w:ascii="Calibri" w:eastAsia="Times New Roman" w:hAnsi="Calibri" w:cs="Calibri"/>
                <w:b/>
                <w:bCs/>
                <w:sz w:val="16"/>
                <w:szCs w:val="16"/>
                <w:lang w:eastAsia="es-CO"/>
              </w:rPr>
            </w:pPr>
            <w:r w:rsidRPr="00166D68">
              <w:rPr>
                <w:rFonts w:ascii="Calibri" w:eastAsia="Times New Roman" w:hAnsi="Calibri" w:cs="Calibri"/>
                <w:b/>
                <w:bCs/>
                <w:sz w:val="16"/>
                <w:szCs w:val="16"/>
                <w:lang w:eastAsia="es-CO"/>
              </w:rPr>
              <w:t>2011</w:t>
            </w:r>
          </w:p>
        </w:tc>
        <w:tc>
          <w:tcPr>
            <w:tcW w:w="1080" w:type="dxa"/>
            <w:tcBorders>
              <w:top w:val="nil"/>
              <w:left w:val="nil"/>
              <w:bottom w:val="single" w:sz="4" w:space="0" w:color="auto"/>
              <w:right w:val="single" w:sz="4" w:space="0" w:color="auto"/>
            </w:tcBorders>
            <w:shd w:val="clear" w:color="000000" w:fill="DCE6F1"/>
            <w:noWrap/>
            <w:vAlign w:val="bottom"/>
            <w:hideMark/>
          </w:tcPr>
          <w:p w:rsidR="00105248" w:rsidRPr="00166D68" w:rsidRDefault="00105248" w:rsidP="00E57F8B">
            <w:pPr>
              <w:spacing w:after="0" w:line="240" w:lineRule="auto"/>
              <w:jc w:val="center"/>
              <w:rPr>
                <w:rFonts w:ascii="Calibri" w:eastAsia="Times New Roman" w:hAnsi="Calibri" w:cs="Calibri"/>
                <w:b/>
                <w:bCs/>
                <w:sz w:val="16"/>
                <w:szCs w:val="16"/>
                <w:lang w:eastAsia="es-CO"/>
              </w:rPr>
            </w:pPr>
            <w:r w:rsidRPr="00166D68">
              <w:rPr>
                <w:rFonts w:ascii="Calibri" w:eastAsia="Times New Roman" w:hAnsi="Calibri" w:cs="Calibri"/>
                <w:b/>
                <w:bCs/>
                <w:sz w:val="16"/>
                <w:szCs w:val="16"/>
                <w:lang w:eastAsia="es-CO"/>
              </w:rPr>
              <w:t>2012</w:t>
            </w:r>
          </w:p>
        </w:tc>
      </w:tr>
      <w:tr w:rsidR="00105248" w:rsidRPr="00166D68" w:rsidTr="00E57F8B">
        <w:trPr>
          <w:trHeight w:val="255"/>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105248" w:rsidRPr="00166D68" w:rsidRDefault="00105248" w:rsidP="00E57F8B">
            <w:pPr>
              <w:spacing w:after="0" w:line="240" w:lineRule="auto"/>
              <w:rPr>
                <w:rFonts w:ascii="Calibri" w:eastAsia="Times New Roman" w:hAnsi="Calibri" w:cs="Calibri"/>
                <w:color w:val="000000"/>
                <w:sz w:val="20"/>
                <w:szCs w:val="20"/>
                <w:lang w:eastAsia="es-CO"/>
              </w:rPr>
            </w:pPr>
            <w:r w:rsidRPr="00166D68">
              <w:rPr>
                <w:rFonts w:ascii="Calibri" w:eastAsia="Times New Roman" w:hAnsi="Calibri" w:cs="Calibri"/>
                <w:color w:val="000000"/>
                <w:sz w:val="20"/>
                <w:szCs w:val="20"/>
                <w:lang w:eastAsia="es-CO"/>
              </w:rPr>
              <w:t xml:space="preserve"> $     16.647 </w:t>
            </w:r>
          </w:p>
        </w:tc>
        <w:tc>
          <w:tcPr>
            <w:tcW w:w="1080" w:type="dxa"/>
            <w:tcBorders>
              <w:top w:val="nil"/>
              <w:left w:val="nil"/>
              <w:bottom w:val="single" w:sz="4" w:space="0" w:color="auto"/>
              <w:right w:val="single" w:sz="4" w:space="0" w:color="auto"/>
            </w:tcBorders>
            <w:shd w:val="clear" w:color="auto" w:fill="auto"/>
            <w:noWrap/>
            <w:vAlign w:val="bottom"/>
            <w:hideMark/>
          </w:tcPr>
          <w:p w:rsidR="00105248" w:rsidRPr="00166D68" w:rsidRDefault="00105248" w:rsidP="00E57F8B">
            <w:pPr>
              <w:spacing w:after="0" w:line="240" w:lineRule="auto"/>
              <w:rPr>
                <w:rFonts w:ascii="Calibri" w:eastAsia="Times New Roman" w:hAnsi="Calibri" w:cs="Calibri"/>
                <w:color w:val="000000"/>
                <w:sz w:val="20"/>
                <w:szCs w:val="20"/>
                <w:lang w:eastAsia="es-CO"/>
              </w:rPr>
            </w:pPr>
            <w:r w:rsidRPr="00166D68">
              <w:rPr>
                <w:rFonts w:ascii="Calibri" w:eastAsia="Times New Roman" w:hAnsi="Calibri" w:cs="Calibri"/>
                <w:color w:val="000000"/>
                <w:sz w:val="20"/>
                <w:szCs w:val="20"/>
                <w:lang w:eastAsia="es-CO"/>
              </w:rPr>
              <w:t xml:space="preserve"> $     23.796 </w:t>
            </w:r>
          </w:p>
        </w:tc>
        <w:tc>
          <w:tcPr>
            <w:tcW w:w="1080" w:type="dxa"/>
            <w:tcBorders>
              <w:top w:val="nil"/>
              <w:left w:val="nil"/>
              <w:bottom w:val="single" w:sz="4" w:space="0" w:color="auto"/>
              <w:right w:val="single" w:sz="4" w:space="0" w:color="auto"/>
            </w:tcBorders>
            <w:shd w:val="clear" w:color="auto" w:fill="auto"/>
            <w:noWrap/>
            <w:vAlign w:val="bottom"/>
            <w:hideMark/>
          </w:tcPr>
          <w:p w:rsidR="00105248" w:rsidRPr="00166D68" w:rsidRDefault="00105248" w:rsidP="00E57F8B">
            <w:pPr>
              <w:spacing w:after="0" w:line="240" w:lineRule="auto"/>
              <w:rPr>
                <w:rFonts w:ascii="Calibri" w:eastAsia="Times New Roman" w:hAnsi="Calibri" w:cs="Calibri"/>
                <w:color w:val="000000"/>
                <w:sz w:val="20"/>
                <w:szCs w:val="20"/>
                <w:lang w:eastAsia="es-CO"/>
              </w:rPr>
            </w:pPr>
            <w:r w:rsidRPr="00166D68">
              <w:rPr>
                <w:rFonts w:ascii="Calibri" w:eastAsia="Times New Roman" w:hAnsi="Calibri" w:cs="Calibri"/>
                <w:color w:val="000000"/>
                <w:sz w:val="20"/>
                <w:szCs w:val="20"/>
                <w:lang w:eastAsia="es-CO"/>
              </w:rPr>
              <w:t xml:space="preserve"> $     30.356 </w:t>
            </w:r>
          </w:p>
        </w:tc>
        <w:tc>
          <w:tcPr>
            <w:tcW w:w="1080" w:type="dxa"/>
            <w:tcBorders>
              <w:top w:val="nil"/>
              <w:left w:val="nil"/>
              <w:bottom w:val="single" w:sz="4" w:space="0" w:color="auto"/>
              <w:right w:val="single" w:sz="4" w:space="0" w:color="auto"/>
            </w:tcBorders>
            <w:shd w:val="clear" w:color="auto" w:fill="auto"/>
            <w:noWrap/>
            <w:vAlign w:val="bottom"/>
            <w:hideMark/>
          </w:tcPr>
          <w:p w:rsidR="00105248" w:rsidRPr="00166D68" w:rsidRDefault="00105248" w:rsidP="00E57F8B">
            <w:pPr>
              <w:spacing w:after="0" w:line="240" w:lineRule="auto"/>
              <w:rPr>
                <w:rFonts w:ascii="Calibri" w:eastAsia="Times New Roman" w:hAnsi="Calibri" w:cs="Calibri"/>
                <w:color w:val="000000"/>
                <w:sz w:val="20"/>
                <w:szCs w:val="20"/>
                <w:lang w:eastAsia="es-CO"/>
              </w:rPr>
            </w:pPr>
            <w:r w:rsidRPr="00166D68">
              <w:rPr>
                <w:rFonts w:ascii="Calibri" w:eastAsia="Times New Roman" w:hAnsi="Calibri" w:cs="Calibri"/>
                <w:color w:val="000000"/>
                <w:sz w:val="20"/>
                <w:szCs w:val="20"/>
                <w:lang w:eastAsia="es-CO"/>
              </w:rPr>
              <w:t xml:space="preserve"> $     27.999 </w:t>
            </w:r>
          </w:p>
        </w:tc>
        <w:tc>
          <w:tcPr>
            <w:tcW w:w="1080" w:type="dxa"/>
            <w:tcBorders>
              <w:top w:val="nil"/>
              <w:left w:val="nil"/>
              <w:bottom w:val="single" w:sz="4" w:space="0" w:color="auto"/>
              <w:right w:val="single" w:sz="4" w:space="0" w:color="auto"/>
            </w:tcBorders>
            <w:shd w:val="clear" w:color="auto" w:fill="auto"/>
            <w:noWrap/>
            <w:vAlign w:val="bottom"/>
            <w:hideMark/>
          </w:tcPr>
          <w:p w:rsidR="00105248" w:rsidRPr="00166D68" w:rsidRDefault="00105248" w:rsidP="00E57F8B">
            <w:pPr>
              <w:spacing w:after="0" w:line="240" w:lineRule="auto"/>
              <w:rPr>
                <w:rFonts w:ascii="Calibri" w:eastAsia="Times New Roman" w:hAnsi="Calibri" w:cs="Calibri"/>
                <w:color w:val="000000"/>
                <w:sz w:val="20"/>
                <w:szCs w:val="20"/>
                <w:lang w:eastAsia="es-CO"/>
              </w:rPr>
            </w:pPr>
            <w:r w:rsidRPr="00166D68">
              <w:rPr>
                <w:rFonts w:ascii="Calibri" w:eastAsia="Times New Roman" w:hAnsi="Calibri" w:cs="Calibri"/>
                <w:color w:val="000000"/>
                <w:sz w:val="20"/>
                <w:szCs w:val="20"/>
                <w:lang w:eastAsia="es-CO"/>
              </w:rPr>
              <w:t xml:space="preserve"> $     32.631 </w:t>
            </w:r>
          </w:p>
        </w:tc>
      </w:tr>
    </w:tbl>
    <w:p w:rsidR="00105248" w:rsidRPr="00166D68" w:rsidRDefault="00105248" w:rsidP="00105248">
      <w:pPr>
        <w:jc w:val="center"/>
        <w:rPr>
          <w:sz w:val="18"/>
          <w:lang w:val="es-ES"/>
        </w:rPr>
      </w:pPr>
      <w:r w:rsidRPr="00166D68">
        <w:rPr>
          <w:sz w:val="18"/>
          <w:lang w:val="es-ES"/>
        </w:rPr>
        <w:t>Fuente: Ejecuciones presupuestales DNP</w:t>
      </w:r>
    </w:p>
    <w:p w:rsidR="00105248" w:rsidRDefault="00105248" w:rsidP="00105248">
      <w:pPr>
        <w:jc w:val="both"/>
        <w:rPr>
          <w:lang w:val="es-ES"/>
        </w:rPr>
      </w:pPr>
      <w:r>
        <w:rPr>
          <w:lang w:val="es-ES"/>
        </w:rPr>
        <w:t xml:space="preserve">En el año 2012 el departamento de Caquetá alcanzo los $32 mil millones de pesos. Entre el 2008 y 2012, el promedio de ingresos corrientes fue de $26 mil millones. Es decir, que para temas de conservación, incluido cualquier tipo de incentivo financiero (en los que encaja el PSA y otros muchos) Caquetá tiene la obligación de invertir $262 millones de pesos anuales. </w:t>
      </w:r>
    </w:p>
    <w:p w:rsidR="00105248" w:rsidRPr="00C43502" w:rsidRDefault="00105248" w:rsidP="00105248">
      <w:pPr>
        <w:jc w:val="both"/>
        <w:rPr>
          <w:lang w:val="es-ES"/>
        </w:rPr>
      </w:pPr>
      <w:r>
        <w:rPr>
          <w:lang w:val="es-ES"/>
        </w:rPr>
        <w:lastRenderedPageBreak/>
        <w:t xml:space="preserve"> </w:t>
      </w:r>
    </w:p>
    <w:p w:rsidR="00105248" w:rsidRPr="00C43502" w:rsidRDefault="00105248" w:rsidP="00330D5C">
      <w:pPr>
        <w:pStyle w:val="Ttulo4"/>
        <w:rPr>
          <w:lang w:val="es-ES"/>
        </w:rPr>
      </w:pPr>
      <w:r w:rsidRPr="00C43502">
        <w:rPr>
          <w:lang w:val="es-ES"/>
        </w:rPr>
        <w:t xml:space="preserve">Gastos de Inversión en Agricultura y Medio Ambiente </w:t>
      </w:r>
    </w:p>
    <w:p w:rsidR="00105248" w:rsidRDefault="00105248" w:rsidP="00105248">
      <w:pPr>
        <w:jc w:val="both"/>
        <w:rPr>
          <w:lang w:val="es-ES"/>
        </w:rPr>
      </w:pPr>
      <w:r>
        <w:rPr>
          <w:lang w:val="es-ES"/>
        </w:rPr>
        <w:t xml:space="preserve">Si se enfoca en los gastos de inversión del departamento, específicamente en agricultura y medio ambiente, que son los campos mas relacionados con la implementación de incentivos, se observa que para el 2018, el desarrollo de programa y proyectos productivos alcanzo los $3.373 millones de pesos, mientras que la adquisición de áreas de interés para el acueducto municipal alcanzo los $1.255 millones de pesos, la promoción de alianzas, asociaciones u otras formas asociativas de productores  llego a los $584 millones de pesos; y. los programas y proyectos de asistencia técnica directa rural llegaron a los $391 millones de pesos. </w:t>
      </w:r>
    </w:p>
    <w:p w:rsidR="00105248" w:rsidRPr="00606DAE" w:rsidRDefault="00105248" w:rsidP="00105248">
      <w:pPr>
        <w:pStyle w:val="Prrafodelista"/>
        <w:jc w:val="both"/>
        <w:rPr>
          <w:lang w:val="es-ES"/>
        </w:rPr>
      </w:pPr>
    </w:p>
    <w:p w:rsidR="00105248" w:rsidRDefault="00105248" w:rsidP="00105248">
      <w:pPr>
        <w:jc w:val="both"/>
        <w:rPr>
          <w:lang w:val="es-ES"/>
        </w:rPr>
      </w:pPr>
      <w:r>
        <w:rPr>
          <w:noProof/>
          <w:lang w:val="es-ES"/>
        </w:rPr>
        <w:drawing>
          <wp:inline distT="0" distB="0" distL="0" distR="0" wp14:anchorId="0867513C" wp14:editId="7EA41C9F">
            <wp:extent cx="5822315" cy="3999230"/>
            <wp:effectExtent l="0" t="0" r="6985" b="127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22315" cy="3999230"/>
                    </a:xfrm>
                    <a:prstGeom prst="rect">
                      <a:avLst/>
                    </a:prstGeom>
                    <a:noFill/>
                  </pic:spPr>
                </pic:pic>
              </a:graphicData>
            </a:graphic>
          </wp:inline>
        </w:drawing>
      </w:r>
    </w:p>
    <w:p w:rsidR="00105248" w:rsidRDefault="00105248" w:rsidP="00105248">
      <w:pPr>
        <w:jc w:val="center"/>
        <w:rPr>
          <w:sz w:val="20"/>
          <w:lang w:val="es-ES"/>
        </w:rPr>
      </w:pPr>
      <w:r w:rsidRPr="005363C9">
        <w:rPr>
          <w:sz w:val="20"/>
          <w:lang w:val="es-ES"/>
        </w:rPr>
        <w:t xml:space="preserve">Fuente: Elaboración propia del autor, datos </w:t>
      </w:r>
      <w:r>
        <w:rPr>
          <w:sz w:val="20"/>
          <w:lang w:val="es-ES"/>
        </w:rPr>
        <w:t xml:space="preserve">SISFUT </w:t>
      </w:r>
    </w:p>
    <w:p w:rsidR="00105248" w:rsidRDefault="00105248" w:rsidP="00105248">
      <w:pPr>
        <w:jc w:val="center"/>
        <w:rPr>
          <w:sz w:val="20"/>
          <w:lang w:val="es-ES"/>
        </w:rPr>
      </w:pPr>
    </w:p>
    <w:p w:rsidR="00105248" w:rsidRDefault="00105248" w:rsidP="00105248">
      <w:pPr>
        <w:jc w:val="both"/>
        <w:rPr>
          <w:lang w:val="es-ES"/>
        </w:rPr>
      </w:pPr>
      <w:r w:rsidRPr="007D0DD8">
        <w:rPr>
          <w:lang w:val="es-ES"/>
        </w:rPr>
        <w:t xml:space="preserve">Aunque los valores </w:t>
      </w:r>
      <w:r>
        <w:rPr>
          <w:lang w:val="es-ES"/>
        </w:rPr>
        <w:t xml:space="preserve">absolutos parecen considerables, al momento de obtener el porcentaje de la inversión total anual del departamento en la inversión en agricultura y medio ambiente se observa que son porcentajes mínimos. La promoción de alianzas entre productores en el 2017 alcanza su máximo con un 0,35% del total. Los programas y proyectos de asistencia técnica directa alcanzaron en el 2018 un 0,03%. El desarrollo de programas productivos alcanzo un 0,42% en el 2017. La adquisición de áreas de interés en el 2015 llego a los 0,24% y la conservación de microcuencas llego al 0,09% en 2016. Son valores de inversión en porcentaje mínimos para estos sectores tan </w:t>
      </w:r>
      <w:r>
        <w:rPr>
          <w:lang w:val="es-ES"/>
        </w:rPr>
        <w:lastRenderedPageBreak/>
        <w:t xml:space="preserve">importantes. Adicionalmente se debe tener en cuenta que existe una muy baja ejecución presupuestal de los recursos de libre destinación y libre inversión. </w:t>
      </w:r>
    </w:p>
    <w:p w:rsidR="00105248" w:rsidRPr="007D0DD8" w:rsidRDefault="00105248" w:rsidP="00105248">
      <w:pPr>
        <w:jc w:val="both"/>
        <w:rPr>
          <w:lang w:val="es-ES"/>
        </w:rPr>
      </w:pPr>
    </w:p>
    <w:tbl>
      <w:tblPr>
        <w:tblW w:w="9781" w:type="dxa"/>
        <w:tblInd w:w="-471" w:type="dxa"/>
        <w:tblCellMar>
          <w:left w:w="70" w:type="dxa"/>
          <w:right w:w="70" w:type="dxa"/>
        </w:tblCellMar>
        <w:tblLook w:val="04A0" w:firstRow="1" w:lastRow="0" w:firstColumn="1" w:lastColumn="0" w:noHBand="0" w:noVBand="1"/>
      </w:tblPr>
      <w:tblGrid>
        <w:gridCol w:w="4111"/>
        <w:gridCol w:w="1418"/>
        <w:gridCol w:w="1417"/>
        <w:gridCol w:w="1418"/>
        <w:gridCol w:w="1417"/>
      </w:tblGrid>
      <w:tr w:rsidR="00105248" w:rsidRPr="00862F78" w:rsidTr="00E57F8B">
        <w:trPr>
          <w:trHeight w:val="300"/>
        </w:trPr>
        <w:tc>
          <w:tcPr>
            <w:tcW w:w="4111" w:type="dxa"/>
            <w:vMerge w:val="restart"/>
            <w:tcBorders>
              <w:top w:val="nil"/>
              <w:left w:val="nil"/>
              <w:bottom w:val="single" w:sz="4" w:space="0" w:color="000000"/>
              <w:right w:val="nil"/>
            </w:tcBorders>
            <w:shd w:val="clear" w:color="000000" w:fill="D6DCE4"/>
            <w:noWrap/>
            <w:vAlign w:val="center"/>
            <w:hideMark/>
          </w:tcPr>
          <w:p w:rsidR="00105248" w:rsidRPr="00862F78" w:rsidRDefault="00105248" w:rsidP="00E57F8B">
            <w:pPr>
              <w:spacing w:after="0" w:line="240" w:lineRule="auto"/>
              <w:jc w:val="center"/>
              <w:rPr>
                <w:rFonts w:ascii="Calibri" w:eastAsia="Times New Roman" w:hAnsi="Calibri" w:cs="Calibri"/>
                <w:b/>
                <w:bCs/>
                <w:color w:val="000000"/>
                <w:lang w:eastAsia="es-CO"/>
              </w:rPr>
            </w:pPr>
            <w:r w:rsidRPr="00862F78">
              <w:rPr>
                <w:rFonts w:ascii="Calibri" w:eastAsia="Times New Roman" w:hAnsi="Calibri" w:cs="Calibri"/>
                <w:b/>
                <w:bCs/>
                <w:color w:val="000000"/>
                <w:lang w:eastAsia="es-CO"/>
              </w:rPr>
              <w:t>Campo de Inversión</w:t>
            </w:r>
          </w:p>
        </w:tc>
        <w:tc>
          <w:tcPr>
            <w:tcW w:w="5670" w:type="dxa"/>
            <w:gridSpan w:val="4"/>
            <w:tcBorders>
              <w:top w:val="single" w:sz="4" w:space="0" w:color="auto"/>
              <w:left w:val="single" w:sz="4" w:space="0" w:color="auto"/>
              <w:bottom w:val="single" w:sz="4" w:space="0" w:color="auto"/>
              <w:right w:val="single" w:sz="4" w:space="0" w:color="auto"/>
            </w:tcBorders>
            <w:shd w:val="clear" w:color="000000" w:fill="D6DCE4"/>
            <w:noWrap/>
            <w:vAlign w:val="bottom"/>
            <w:hideMark/>
          </w:tcPr>
          <w:p w:rsidR="00105248" w:rsidRPr="00862F78" w:rsidRDefault="00105248" w:rsidP="00E57F8B">
            <w:pPr>
              <w:spacing w:after="0" w:line="240" w:lineRule="auto"/>
              <w:jc w:val="center"/>
              <w:rPr>
                <w:rFonts w:ascii="Calibri" w:eastAsia="Times New Roman" w:hAnsi="Calibri" w:cs="Calibri"/>
                <w:b/>
                <w:bCs/>
                <w:color w:val="000000"/>
                <w:lang w:eastAsia="es-CO"/>
              </w:rPr>
            </w:pPr>
            <w:r w:rsidRPr="00862F78">
              <w:rPr>
                <w:rFonts w:ascii="Calibri" w:eastAsia="Times New Roman" w:hAnsi="Calibri" w:cs="Calibri"/>
                <w:b/>
                <w:bCs/>
                <w:color w:val="000000"/>
                <w:lang w:eastAsia="es-CO"/>
              </w:rPr>
              <w:t xml:space="preserve">% inversión total departamento </w:t>
            </w:r>
          </w:p>
        </w:tc>
      </w:tr>
      <w:tr w:rsidR="00105248" w:rsidRPr="00862F78" w:rsidTr="00E57F8B">
        <w:trPr>
          <w:trHeight w:val="300"/>
        </w:trPr>
        <w:tc>
          <w:tcPr>
            <w:tcW w:w="4111" w:type="dxa"/>
            <w:vMerge/>
            <w:tcBorders>
              <w:top w:val="nil"/>
              <w:left w:val="nil"/>
              <w:bottom w:val="single" w:sz="4" w:space="0" w:color="000000"/>
              <w:right w:val="nil"/>
            </w:tcBorders>
            <w:vAlign w:val="center"/>
            <w:hideMark/>
          </w:tcPr>
          <w:p w:rsidR="00105248" w:rsidRPr="00862F78" w:rsidRDefault="00105248" w:rsidP="00E57F8B">
            <w:pPr>
              <w:spacing w:after="0" w:line="240" w:lineRule="auto"/>
              <w:rPr>
                <w:rFonts w:ascii="Calibri" w:eastAsia="Times New Roman" w:hAnsi="Calibri" w:cs="Calibri"/>
                <w:b/>
                <w:bCs/>
                <w:color w:val="000000"/>
                <w:lang w:eastAsia="es-CO"/>
              </w:rPr>
            </w:pPr>
          </w:p>
        </w:tc>
        <w:tc>
          <w:tcPr>
            <w:tcW w:w="1418" w:type="dxa"/>
            <w:tcBorders>
              <w:top w:val="nil"/>
              <w:left w:val="single" w:sz="4" w:space="0" w:color="auto"/>
              <w:bottom w:val="single" w:sz="4" w:space="0" w:color="auto"/>
              <w:right w:val="single" w:sz="4" w:space="0" w:color="auto"/>
            </w:tcBorders>
            <w:shd w:val="clear" w:color="000000" w:fill="D6DCE4"/>
            <w:noWrap/>
            <w:vAlign w:val="bottom"/>
            <w:hideMark/>
          </w:tcPr>
          <w:p w:rsidR="00105248" w:rsidRPr="00862F78" w:rsidRDefault="00105248" w:rsidP="00E57F8B">
            <w:pPr>
              <w:spacing w:after="0" w:line="240" w:lineRule="auto"/>
              <w:jc w:val="center"/>
              <w:rPr>
                <w:rFonts w:ascii="Calibri" w:eastAsia="Times New Roman" w:hAnsi="Calibri" w:cs="Calibri"/>
                <w:b/>
                <w:bCs/>
                <w:color w:val="000000"/>
                <w:lang w:eastAsia="es-CO"/>
              </w:rPr>
            </w:pPr>
            <w:r w:rsidRPr="00862F78">
              <w:rPr>
                <w:rFonts w:ascii="Calibri" w:eastAsia="Times New Roman" w:hAnsi="Calibri" w:cs="Calibri"/>
                <w:b/>
                <w:bCs/>
                <w:color w:val="000000"/>
                <w:lang w:eastAsia="es-CO"/>
              </w:rPr>
              <w:t>2018</w:t>
            </w:r>
          </w:p>
        </w:tc>
        <w:tc>
          <w:tcPr>
            <w:tcW w:w="1417" w:type="dxa"/>
            <w:tcBorders>
              <w:top w:val="nil"/>
              <w:left w:val="nil"/>
              <w:bottom w:val="single" w:sz="4" w:space="0" w:color="auto"/>
              <w:right w:val="single" w:sz="4" w:space="0" w:color="auto"/>
            </w:tcBorders>
            <w:shd w:val="clear" w:color="000000" w:fill="D6DCE4"/>
            <w:noWrap/>
            <w:vAlign w:val="bottom"/>
            <w:hideMark/>
          </w:tcPr>
          <w:p w:rsidR="00105248" w:rsidRPr="00862F78" w:rsidRDefault="00105248" w:rsidP="00E57F8B">
            <w:pPr>
              <w:spacing w:after="0" w:line="240" w:lineRule="auto"/>
              <w:jc w:val="center"/>
              <w:rPr>
                <w:rFonts w:ascii="Calibri" w:eastAsia="Times New Roman" w:hAnsi="Calibri" w:cs="Calibri"/>
                <w:b/>
                <w:bCs/>
                <w:color w:val="000000"/>
                <w:lang w:eastAsia="es-CO"/>
              </w:rPr>
            </w:pPr>
            <w:r w:rsidRPr="00862F78">
              <w:rPr>
                <w:rFonts w:ascii="Calibri" w:eastAsia="Times New Roman" w:hAnsi="Calibri" w:cs="Calibri"/>
                <w:b/>
                <w:bCs/>
                <w:color w:val="000000"/>
                <w:lang w:eastAsia="es-CO"/>
              </w:rPr>
              <w:t>2017</w:t>
            </w:r>
          </w:p>
        </w:tc>
        <w:tc>
          <w:tcPr>
            <w:tcW w:w="1418" w:type="dxa"/>
            <w:tcBorders>
              <w:top w:val="nil"/>
              <w:left w:val="nil"/>
              <w:bottom w:val="single" w:sz="4" w:space="0" w:color="auto"/>
              <w:right w:val="single" w:sz="4" w:space="0" w:color="auto"/>
            </w:tcBorders>
            <w:shd w:val="clear" w:color="000000" w:fill="D6DCE4"/>
            <w:noWrap/>
            <w:vAlign w:val="bottom"/>
            <w:hideMark/>
          </w:tcPr>
          <w:p w:rsidR="00105248" w:rsidRPr="00862F78" w:rsidRDefault="00105248" w:rsidP="00E57F8B">
            <w:pPr>
              <w:spacing w:after="0" w:line="240" w:lineRule="auto"/>
              <w:jc w:val="center"/>
              <w:rPr>
                <w:rFonts w:ascii="Calibri" w:eastAsia="Times New Roman" w:hAnsi="Calibri" w:cs="Calibri"/>
                <w:b/>
                <w:bCs/>
                <w:color w:val="000000"/>
                <w:lang w:eastAsia="es-CO"/>
              </w:rPr>
            </w:pPr>
            <w:r w:rsidRPr="00862F78">
              <w:rPr>
                <w:rFonts w:ascii="Calibri" w:eastAsia="Times New Roman" w:hAnsi="Calibri" w:cs="Calibri"/>
                <w:b/>
                <w:bCs/>
                <w:color w:val="000000"/>
                <w:lang w:eastAsia="es-CO"/>
              </w:rPr>
              <w:t>2016</w:t>
            </w:r>
          </w:p>
        </w:tc>
        <w:tc>
          <w:tcPr>
            <w:tcW w:w="1417" w:type="dxa"/>
            <w:tcBorders>
              <w:top w:val="nil"/>
              <w:left w:val="nil"/>
              <w:bottom w:val="single" w:sz="4" w:space="0" w:color="auto"/>
              <w:right w:val="single" w:sz="4" w:space="0" w:color="auto"/>
            </w:tcBorders>
            <w:shd w:val="clear" w:color="000000" w:fill="D6DCE4"/>
            <w:noWrap/>
            <w:vAlign w:val="bottom"/>
            <w:hideMark/>
          </w:tcPr>
          <w:p w:rsidR="00105248" w:rsidRPr="00862F78" w:rsidRDefault="00105248" w:rsidP="00E57F8B">
            <w:pPr>
              <w:spacing w:after="0" w:line="240" w:lineRule="auto"/>
              <w:jc w:val="center"/>
              <w:rPr>
                <w:rFonts w:ascii="Calibri" w:eastAsia="Times New Roman" w:hAnsi="Calibri" w:cs="Calibri"/>
                <w:b/>
                <w:bCs/>
                <w:color w:val="000000"/>
                <w:lang w:eastAsia="es-CO"/>
              </w:rPr>
            </w:pPr>
            <w:r w:rsidRPr="00862F78">
              <w:rPr>
                <w:rFonts w:ascii="Calibri" w:eastAsia="Times New Roman" w:hAnsi="Calibri" w:cs="Calibri"/>
                <w:b/>
                <w:bCs/>
                <w:color w:val="000000"/>
                <w:lang w:eastAsia="es-CO"/>
              </w:rPr>
              <w:t>2015</w:t>
            </w:r>
          </w:p>
        </w:tc>
      </w:tr>
      <w:tr w:rsidR="00105248" w:rsidRPr="00862F78" w:rsidTr="00E57F8B">
        <w:trPr>
          <w:trHeight w:val="60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105248" w:rsidRPr="00862F78" w:rsidRDefault="00105248" w:rsidP="00E57F8B">
            <w:pPr>
              <w:spacing w:after="0" w:line="240" w:lineRule="auto"/>
              <w:rPr>
                <w:rFonts w:ascii="Calibri" w:eastAsia="Times New Roman" w:hAnsi="Calibri" w:cs="Calibri"/>
                <w:color w:val="000000"/>
                <w:lang w:eastAsia="es-CO"/>
              </w:rPr>
            </w:pPr>
            <w:r w:rsidRPr="00862F78">
              <w:rPr>
                <w:rFonts w:ascii="Calibri" w:eastAsia="Times New Roman" w:hAnsi="Calibri" w:cs="Calibri"/>
                <w:color w:val="000000"/>
                <w:lang w:eastAsia="es-CO"/>
              </w:rPr>
              <w:t xml:space="preserve">PROMOCIÓN DE ALIANZAS, ASOCIACIONES U OTRAS FORMAS ASOCIATIVAS DE PRODUCTORES </w:t>
            </w:r>
          </w:p>
        </w:tc>
        <w:tc>
          <w:tcPr>
            <w:tcW w:w="1418" w:type="dxa"/>
            <w:tcBorders>
              <w:top w:val="nil"/>
              <w:left w:val="nil"/>
              <w:bottom w:val="single" w:sz="4" w:space="0" w:color="auto"/>
              <w:right w:val="single" w:sz="4" w:space="0" w:color="auto"/>
            </w:tcBorders>
            <w:shd w:val="clear" w:color="auto" w:fill="auto"/>
            <w:noWrap/>
            <w:vAlign w:val="center"/>
            <w:hideMark/>
          </w:tcPr>
          <w:p w:rsidR="00105248" w:rsidRPr="00862F78" w:rsidRDefault="00105248" w:rsidP="00E57F8B">
            <w:pPr>
              <w:spacing w:after="0" w:line="240" w:lineRule="auto"/>
              <w:jc w:val="center"/>
              <w:rPr>
                <w:rFonts w:ascii="Calibri" w:eastAsia="Times New Roman" w:hAnsi="Calibri" w:cs="Calibri"/>
                <w:color w:val="000000"/>
                <w:lang w:eastAsia="es-CO"/>
              </w:rPr>
            </w:pPr>
            <w:r w:rsidRPr="00862F78">
              <w:rPr>
                <w:rFonts w:ascii="Calibri" w:eastAsia="Times New Roman" w:hAnsi="Calibri" w:cs="Calibri"/>
                <w:color w:val="000000"/>
                <w:lang w:eastAsia="es-CO"/>
              </w:rPr>
              <w:t>0,05%</w:t>
            </w:r>
          </w:p>
        </w:tc>
        <w:tc>
          <w:tcPr>
            <w:tcW w:w="1417" w:type="dxa"/>
            <w:tcBorders>
              <w:top w:val="nil"/>
              <w:left w:val="nil"/>
              <w:bottom w:val="single" w:sz="4" w:space="0" w:color="auto"/>
              <w:right w:val="single" w:sz="4" w:space="0" w:color="auto"/>
            </w:tcBorders>
            <w:shd w:val="clear" w:color="auto" w:fill="auto"/>
            <w:noWrap/>
            <w:vAlign w:val="center"/>
            <w:hideMark/>
          </w:tcPr>
          <w:p w:rsidR="00105248" w:rsidRPr="00862F78" w:rsidRDefault="00105248" w:rsidP="00E57F8B">
            <w:pPr>
              <w:spacing w:after="0" w:line="240" w:lineRule="auto"/>
              <w:jc w:val="center"/>
              <w:rPr>
                <w:rFonts w:ascii="Calibri" w:eastAsia="Times New Roman" w:hAnsi="Calibri" w:cs="Calibri"/>
                <w:color w:val="000000"/>
                <w:lang w:eastAsia="es-CO"/>
              </w:rPr>
            </w:pPr>
            <w:r w:rsidRPr="00862F78">
              <w:rPr>
                <w:rFonts w:ascii="Calibri" w:eastAsia="Times New Roman" w:hAnsi="Calibri" w:cs="Calibri"/>
                <w:color w:val="000000"/>
                <w:lang w:eastAsia="es-CO"/>
              </w:rPr>
              <w:t>0,35%</w:t>
            </w:r>
          </w:p>
        </w:tc>
        <w:tc>
          <w:tcPr>
            <w:tcW w:w="1418" w:type="dxa"/>
            <w:tcBorders>
              <w:top w:val="nil"/>
              <w:left w:val="nil"/>
              <w:bottom w:val="single" w:sz="4" w:space="0" w:color="auto"/>
              <w:right w:val="single" w:sz="4" w:space="0" w:color="auto"/>
            </w:tcBorders>
            <w:shd w:val="clear" w:color="auto" w:fill="auto"/>
            <w:noWrap/>
            <w:vAlign w:val="center"/>
            <w:hideMark/>
          </w:tcPr>
          <w:p w:rsidR="00105248" w:rsidRPr="00862F78" w:rsidRDefault="00105248" w:rsidP="00E57F8B">
            <w:pPr>
              <w:spacing w:after="0" w:line="240" w:lineRule="auto"/>
              <w:jc w:val="center"/>
              <w:rPr>
                <w:rFonts w:ascii="Calibri" w:eastAsia="Times New Roman" w:hAnsi="Calibri" w:cs="Calibri"/>
                <w:color w:val="000000"/>
                <w:lang w:eastAsia="es-CO"/>
              </w:rPr>
            </w:pPr>
            <w:r w:rsidRPr="00862F78">
              <w:rPr>
                <w:rFonts w:ascii="Calibri" w:eastAsia="Times New Roman" w:hAnsi="Calibri" w:cs="Calibri"/>
                <w:color w:val="000000"/>
                <w:lang w:eastAsia="es-CO"/>
              </w:rPr>
              <w:t>0,07%</w:t>
            </w:r>
          </w:p>
        </w:tc>
        <w:tc>
          <w:tcPr>
            <w:tcW w:w="1417" w:type="dxa"/>
            <w:tcBorders>
              <w:top w:val="nil"/>
              <w:left w:val="nil"/>
              <w:bottom w:val="single" w:sz="4" w:space="0" w:color="auto"/>
              <w:right w:val="single" w:sz="4" w:space="0" w:color="auto"/>
            </w:tcBorders>
            <w:shd w:val="clear" w:color="auto" w:fill="auto"/>
            <w:noWrap/>
            <w:vAlign w:val="center"/>
            <w:hideMark/>
          </w:tcPr>
          <w:p w:rsidR="00105248" w:rsidRPr="00862F78" w:rsidRDefault="00105248" w:rsidP="00E57F8B">
            <w:pPr>
              <w:spacing w:after="0" w:line="240" w:lineRule="auto"/>
              <w:jc w:val="center"/>
              <w:rPr>
                <w:rFonts w:ascii="Calibri" w:eastAsia="Times New Roman" w:hAnsi="Calibri" w:cs="Calibri"/>
                <w:color w:val="000000"/>
                <w:lang w:eastAsia="es-CO"/>
              </w:rPr>
            </w:pPr>
            <w:r w:rsidRPr="00862F78">
              <w:rPr>
                <w:rFonts w:ascii="Calibri" w:eastAsia="Times New Roman" w:hAnsi="Calibri" w:cs="Calibri"/>
                <w:color w:val="000000"/>
                <w:lang w:eastAsia="es-CO"/>
              </w:rPr>
              <w:t>0,16%</w:t>
            </w:r>
          </w:p>
        </w:tc>
      </w:tr>
      <w:tr w:rsidR="00105248" w:rsidRPr="00862F78" w:rsidTr="00E57F8B">
        <w:trPr>
          <w:trHeight w:val="60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105248" w:rsidRPr="00862F78" w:rsidRDefault="00105248" w:rsidP="00E57F8B">
            <w:pPr>
              <w:spacing w:after="0" w:line="240" w:lineRule="auto"/>
              <w:rPr>
                <w:rFonts w:ascii="Calibri" w:eastAsia="Times New Roman" w:hAnsi="Calibri" w:cs="Calibri"/>
                <w:color w:val="000000"/>
                <w:lang w:eastAsia="es-CO"/>
              </w:rPr>
            </w:pPr>
            <w:r w:rsidRPr="00862F78">
              <w:rPr>
                <w:rFonts w:ascii="Calibri" w:eastAsia="Times New Roman" w:hAnsi="Calibri" w:cs="Calibri"/>
                <w:color w:val="000000"/>
                <w:lang w:eastAsia="es-CO"/>
              </w:rPr>
              <w:t xml:space="preserve">PROGRAMAS Y PROYECTOS DE ASISTENCIA TÉCNICA DIRECTA RURAL </w:t>
            </w:r>
          </w:p>
        </w:tc>
        <w:tc>
          <w:tcPr>
            <w:tcW w:w="1418" w:type="dxa"/>
            <w:tcBorders>
              <w:top w:val="nil"/>
              <w:left w:val="nil"/>
              <w:bottom w:val="single" w:sz="4" w:space="0" w:color="auto"/>
              <w:right w:val="single" w:sz="4" w:space="0" w:color="auto"/>
            </w:tcBorders>
            <w:shd w:val="clear" w:color="auto" w:fill="auto"/>
            <w:noWrap/>
            <w:vAlign w:val="center"/>
            <w:hideMark/>
          </w:tcPr>
          <w:p w:rsidR="00105248" w:rsidRPr="00862F78" w:rsidRDefault="00105248" w:rsidP="00E57F8B">
            <w:pPr>
              <w:spacing w:after="0" w:line="240" w:lineRule="auto"/>
              <w:jc w:val="center"/>
              <w:rPr>
                <w:rFonts w:ascii="Calibri" w:eastAsia="Times New Roman" w:hAnsi="Calibri" w:cs="Calibri"/>
                <w:color w:val="000000"/>
                <w:lang w:eastAsia="es-CO"/>
              </w:rPr>
            </w:pPr>
            <w:r w:rsidRPr="00862F78">
              <w:rPr>
                <w:rFonts w:ascii="Calibri" w:eastAsia="Times New Roman" w:hAnsi="Calibri" w:cs="Calibri"/>
                <w:color w:val="000000"/>
                <w:lang w:eastAsia="es-CO"/>
              </w:rPr>
              <w:t>0,03%</w:t>
            </w:r>
          </w:p>
        </w:tc>
        <w:tc>
          <w:tcPr>
            <w:tcW w:w="1417" w:type="dxa"/>
            <w:tcBorders>
              <w:top w:val="nil"/>
              <w:left w:val="nil"/>
              <w:bottom w:val="single" w:sz="4" w:space="0" w:color="auto"/>
              <w:right w:val="single" w:sz="4" w:space="0" w:color="auto"/>
            </w:tcBorders>
            <w:shd w:val="clear" w:color="auto" w:fill="auto"/>
            <w:noWrap/>
            <w:vAlign w:val="center"/>
            <w:hideMark/>
          </w:tcPr>
          <w:p w:rsidR="00105248" w:rsidRPr="00862F78" w:rsidRDefault="00105248" w:rsidP="00E57F8B">
            <w:pPr>
              <w:spacing w:after="0" w:line="240" w:lineRule="auto"/>
              <w:jc w:val="center"/>
              <w:rPr>
                <w:rFonts w:ascii="Calibri" w:eastAsia="Times New Roman" w:hAnsi="Calibri" w:cs="Calibri"/>
                <w:color w:val="000000"/>
                <w:lang w:eastAsia="es-CO"/>
              </w:rPr>
            </w:pPr>
            <w:r w:rsidRPr="00862F78">
              <w:rPr>
                <w:rFonts w:ascii="Calibri" w:eastAsia="Times New Roman" w:hAnsi="Calibri" w:cs="Calibri"/>
                <w:color w:val="000000"/>
                <w:lang w:eastAsia="es-CO"/>
              </w:rPr>
              <w:t> </w:t>
            </w:r>
          </w:p>
        </w:tc>
        <w:tc>
          <w:tcPr>
            <w:tcW w:w="1418" w:type="dxa"/>
            <w:tcBorders>
              <w:top w:val="nil"/>
              <w:left w:val="nil"/>
              <w:bottom w:val="single" w:sz="4" w:space="0" w:color="auto"/>
              <w:right w:val="single" w:sz="4" w:space="0" w:color="auto"/>
            </w:tcBorders>
            <w:shd w:val="clear" w:color="auto" w:fill="auto"/>
            <w:noWrap/>
            <w:vAlign w:val="center"/>
            <w:hideMark/>
          </w:tcPr>
          <w:p w:rsidR="00105248" w:rsidRPr="00862F78" w:rsidRDefault="00105248" w:rsidP="00E57F8B">
            <w:pPr>
              <w:spacing w:after="0" w:line="240" w:lineRule="auto"/>
              <w:jc w:val="center"/>
              <w:rPr>
                <w:rFonts w:ascii="Calibri" w:eastAsia="Times New Roman" w:hAnsi="Calibri" w:cs="Calibri"/>
                <w:color w:val="000000"/>
                <w:lang w:eastAsia="es-CO"/>
              </w:rPr>
            </w:pPr>
            <w:r w:rsidRPr="00862F78">
              <w:rPr>
                <w:rFonts w:ascii="Calibri" w:eastAsia="Times New Roman" w:hAnsi="Calibri" w:cs="Calibri"/>
                <w:color w:val="000000"/>
                <w:lang w:eastAsia="es-CO"/>
              </w:rPr>
              <w:t> </w:t>
            </w:r>
          </w:p>
        </w:tc>
        <w:tc>
          <w:tcPr>
            <w:tcW w:w="1417" w:type="dxa"/>
            <w:tcBorders>
              <w:top w:val="nil"/>
              <w:left w:val="nil"/>
              <w:bottom w:val="single" w:sz="4" w:space="0" w:color="auto"/>
              <w:right w:val="single" w:sz="4" w:space="0" w:color="auto"/>
            </w:tcBorders>
            <w:shd w:val="clear" w:color="auto" w:fill="auto"/>
            <w:noWrap/>
            <w:vAlign w:val="center"/>
            <w:hideMark/>
          </w:tcPr>
          <w:p w:rsidR="00105248" w:rsidRPr="00862F78" w:rsidRDefault="00105248" w:rsidP="00E57F8B">
            <w:pPr>
              <w:spacing w:after="0" w:line="240" w:lineRule="auto"/>
              <w:jc w:val="center"/>
              <w:rPr>
                <w:rFonts w:ascii="Calibri" w:eastAsia="Times New Roman" w:hAnsi="Calibri" w:cs="Calibri"/>
                <w:color w:val="000000"/>
                <w:lang w:eastAsia="es-CO"/>
              </w:rPr>
            </w:pPr>
            <w:r w:rsidRPr="00862F78">
              <w:rPr>
                <w:rFonts w:ascii="Calibri" w:eastAsia="Times New Roman" w:hAnsi="Calibri" w:cs="Calibri"/>
                <w:color w:val="000000"/>
                <w:lang w:eastAsia="es-CO"/>
              </w:rPr>
              <w:t> </w:t>
            </w:r>
          </w:p>
        </w:tc>
      </w:tr>
      <w:tr w:rsidR="00105248" w:rsidRPr="00862F78" w:rsidTr="00E57F8B">
        <w:trPr>
          <w:trHeight w:val="450"/>
        </w:trPr>
        <w:tc>
          <w:tcPr>
            <w:tcW w:w="4111" w:type="dxa"/>
            <w:vMerge w:val="restart"/>
            <w:tcBorders>
              <w:top w:val="nil"/>
              <w:left w:val="single" w:sz="4" w:space="0" w:color="auto"/>
              <w:bottom w:val="single" w:sz="4" w:space="0" w:color="auto"/>
              <w:right w:val="single" w:sz="4" w:space="0" w:color="auto"/>
            </w:tcBorders>
            <w:shd w:val="clear" w:color="auto" w:fill="auto"/>
            <w:vAlign w:val="center"/>
            <w:hideMark/>
          </w:tcPr>
          <w:p w:rsidR="00105248" w:rsidRPr="00862F78" w:rsidRDefault="00105248" w:rsidP="00E57F8B">
            <w:pPr>
              <w:spacing w:after="0" w:line="240" w:lineRule="auto"/>
              <w:rPr>
                <w:rFonts w:ascii="Calibri" w:eastAsia="Times New Roman" w:hAnsi="Calibri" w:cs="Calibri"/>
                <w:color w:val="000000"/>
                <w:lang w:eastAsia="es-CO"/>
              </w:rPr>
            </w:pPr>
            <w:r w:rsidRPr="00862F78">
              <w:rPr>
                <w:rFonts w:ascii="Calibri" w:eastAsia="Times New Roman" w:hAnsi="Calibri" w:cs="Calibri"/>
                <w:color w:val="000000"/>
                <w:lang w:eastAsia="es-CO"/>
              </w:rPr>
              <w:t xml:space="preserve">DESARROLLO DE PROGRAMAS Y PROYECTOS PRODUCTIVOS EN EL MARCO DEL PLAN AGROPECUARIO  </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05248" w:rsidRPr="00862F78" w:rsidRDefault="00105248" w:rsidP="00E57F8B">
            <w:pPr>
              <w:spacing w:after="0" w:line="240" w:lineRule="auto"/>
              <w:jc w:val="center"/>
              <w:rPr>
                <w:rFonts w:ascii="Calibri" w:eastAsia="Times New Roman" w:hAnsi="Calibri" w:cs="Calibri"/>
                <w:color w:val="000000"/>
                <w:lang w:eastAsia="es-CO"/>
              </w:rPr>
            </w:pPr>
            <w:r w:rsidRPr="00862F78">
              <w:rPr>
                <w:rFonts w:ascii="Calibri" w:eastAsia="Times New Roman" w:hAnsi="Calibri" w:cs="Calibri"/>
                <w:color w:val="000000"/>
                <w:lang w:eastAsia="es-CO"/>
              </w:rPr>
              <w:t>0,27%</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05248" w:rsidRPr="00862F78" w:rsidRDefault="00105248" w:rsidP="00E57F8B">
            <w:pPr>
              <w:spacing w:after="0" w:line="240" w:lineRule="auto"/>
              <w:jc w:val="center"/>
              <w:rPr>
                <w:rFonts w:ascii="Calibri" w:eastAsia="Times New Roman" w:hAnsi="Calibri" w:cs="Calibri"/>
                <w:color w:val="000000"/>
                <w:lang w:eastAsia="es-CO"/>
              </w:rPr>
            </w:pPr>
            <w:r w:rsidRPr="00862F78">
              <w:rPr>
                <w:rFonts w:ascii="Calibri" w:eastAsia="Times New Roman" w:hAnsi="Calibri" w:cs="Calibri"/>
                <w:color w:val="000000"/>
                <w:lang w:eastAsia="es-CO"/>
              </w:rPr>
              <w:t>0,42%</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05248" w:rsidRPr="00862F78" w:rsidRDefault="00105248" w:rsidP="00E57F8B">
            <w:pPr>
              <w:spacing w:after="0" w:line="240" w:lineRule="auto"/>
              <w:jc w:val="center"/>
              <w:rPr>
                <w:rFonts w:ascii="Calibri" w:eastAsia="Times New Roman" w:hAnsi="Calibri" w:cs="Calibri"/>
                <w:color w:val="000000"/>
                <w:lang w:eastAsia="es-CO"/>
              </w:rPr>
            </w:pPr>
            <w:r w:rsidRPr="00862F78">
              <w:rPr>
                <w:rFonts w:ascii="Calibri" w:eastAsia="Times New Roman" w:hAnsi="Calibri" w:cs="Calibri"/>
                <w:color w:val="000000"/>
                <w:lang w:eastAsia="es-CO"/>
              </w:rPr>
              <w:t>0,23%</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05248" w:rsidRPr="00862F78" w:rsidRDefault="00105248" w:rsidP="00E57F8B">
            <w:pPr>
              <w:spacing w:after="0" w:line="240" w:lineRule="auto"/>
              <w:jc w:val="center"/>
              <w:rPr>
                <w:rFonts w:ascii="Calibri" w:eastAsia="Times New Roman" w:hAnsi="Calibri" w:cs="Calibri"/>
                <w:color w:val="000000"/>
                <w:lang w:eastAsia="es-CO"/>
              </w:rPr>
            </w:pPr>
            <w:r w:rsidRPr="00862F78">
              <w:rPr>
                <w:rFonts w:ascii="Calibri" w:eastAsia="Times New Roman" w:hAnsi="Calibri" w:cs="Calibri"/>
                <w:color w:val="000000"/>
                <w:lang w:eastAsia="es-CO"/>
              </w:rPr>
              <w:t>0,08%</w:t>
            </w:r>
          </w:p>
        </w:tc>
      </w:tr>
      <w:tr w:rsidR="00105248" w:rsidRPr="00862F78" w:rsidTr="00E57F8B">
        <w:trPr>
          <w:trHeight w:val="450"/>
        </w:trPr>
        <w:tc>
          <w:tcPr>
            <w:tcW w:w="4111" w:type="dxa"/>
            <w:vMerge/>
            <w:tcBorders>
              <w:top w:val="nil"/>
              <w:left w:val="single" w:sz="4" w:space="0" w:color="auto"/>
              <w:bottom w:val="single" w:sz="4" w:space="0" w:color="auto"/>
              <w:right w:val="single" w:sz="4" w:space="0" w:color="auto"/>
            </w:tcBorders>
            <w:vAlign w:val="center"/>
            <w:hideMark/>
          </w:tcPr>
          <w:p w:rsidR="00105248" w:rsidRPr="00862F78" w:rsidRDefault="00105248" w:rsidP="00E57F8B">
            <w:pPr>
              <w:spacing w:after="0" w:line="240" w:lineRule="auto"/>
              <w:rPr>
                <w:rFonts w:ascii="Calibri" w:eastAsia="Times New Roman" w:hAnsi="Calibri" w:cs="Calibri"/>
                <w:color w:val="000000"/>
                <w:lang w:eastAsia="es-CO"/>
              </w:rPr>
            </w:pPr>
          </w:p>
        </w:tc>
        <w:tc>
          <w:tcPr>
            <w:tcW w:w="1418" w:type="dxa"/>
            <w:vMerge/>
            <w:tcBorders>
              <w:top w:val="nil"/>
              <w:left w:val="single" w:sz="4" w:space="0" w:color="auto"/>
              <w:bottom w:val="single" w:sz="4" w:space="0" w:color="auto"/>
              <w:right w:val="single" w:sz="4" w:space="0" w:color="auto"/>
            </w:tcBorders>
            <w:vAlign w:val="center"/>
            <w:hideMark/>
          </w:tcPr>
          <w:p w:rsidR="00105248" w:rsidRPr="00862F78" w:rsidRDefault="00105248" w:rsidP="00E57F8B">
            <w:pPr>
              <w:spacing w:after="0" w:line="240" w:lineRule="auto"/>
              <w:rPr>
                <w:rFonts w:ascii="Calibri" w:eastAsia="Times New Roman" w:hAnsi="Calibri" w:cs="Calibri"/>
                <w:color w:val="000000"/>
                <w:lang w:eastAsia="es-CO"/>
              </w:rPr>
            </w:pPr>
          </w:p>
        </w:tc>
        <w:tc>
          <w:tcPr>
            <w:tcW w:w="1417" w:type="dxa"/>
            <w:vMerge/>
            <w:tcBorders>
              <w:top w:val="nil"/>
              <w:left w:val="single" w:sz="4" w:space="0" w:color="auto"/>
              <w:bottom w:val="single" w:sz="4" w:space="0" w:color="auto"/>
              <w:right w:val="single" w:sz="4" w:space="0" w:color="auto"/>
            </w:tcBorders>
            <w:vAlign w:val="center"/>
            <w:hideMark/>
          </w:tcPr>
          <w:p w:rsidR="00105248" w:rsidRPr="00862F78" w:rsidRDefault="00105248" w:rsidP="00E57F8B">
            <w:pPr>
              <w:spacing w:after="0" w:line="240" w:lineRule="auto"/>
              <w:rPr>
                <w:rFonts w:ascii="Calibri" w:eastAsia="Times New Roman" w:hAnsi="Calibri" w:cs="Calibri"/>
                <w:color w:val="000000"/>
                <w:lang w:eastAsia="es-CO"/>
              </w:rPr>
            </w:pPr>
          </w:p>
        </w:tc>
        <w:tc>
          <w:tcPr>
            <w:tcW w:w="1418" w:type="dxa"/>
            <w:vMerge/>
            <w:tcBorders>
              <w:top w:val="nil"/>
              <w:left w:val="single" w:sz="4" w:space="0" w:color="auto"/>
              <w:bottom w:val="single" w:sz="4" w:space="0" w:color="auto"/>
              <w:right w:val="single" w:sz="4" w:space="0" w:color="auto"/>
            </w:tcBorders>
            <w:vAlign w:val="center"/>
            <w:hideMark/>
          </w:tcPr>
          <w:p w:rsidR="00105248" w:rsidRPr="00862F78" w:rsidRDefault="00105248" w:rsidP="00E57F8B">
            <w:pPr>
              <w:spacing w:after="0" w:line="240" w:lineRule="auto"/>
              <w:rPr>
                <w:rFonts w:ascii="Calibri" w:eastAsia="Times New Roman" w:hAnsi="Calibri" w:cs="Calibri"/>
                <w:color w:val="000000"/>
                <w:lang w:eastAsia="es-CO"/>
              </w:rPr>
            </w:pPr>
          </w:p>
        </w:tc>
        <w:tc>
          <w:tcPr>
            <w:tcW w:w="1417" w:type="dxa"/>
            <w:vMerge/>
            <w:tcBorders>
              <w:top w:val="nil"/>
              <w:left w:val="single" w:sz="4" w:space="0" w:color="auto"/>
              <w:bottom w:val="single" w:sz="4" w:space="0" w:color="auto"/>
              <w:right w:val="single" w:sz="4" w:space="0" w:color="auto"/>
            </w:tcBorders>
            <w:vAlign w:val="center"/>
            <w:hideMark/>
          </w:tcPr>
          <w:p w:rsidR="00105248" w:rsidRPr="00862F78" w:rsidRDefault="00105248" w:rsidP="00E57F8B">
            <w:pPr>
              <w:spacing w:after="0" w:line="240" w:lineRule="auto"/>
              <w:rPr>
                <w:rFonts w:ascii="Calibri" w:eastAsia="Times New Roman" w:hAnsi="Calibri" w:cs="Calibri"/>
                <w:color w:val="000000"/>
                <w:lang w:eastAsia="es-CO"/>
              </w:rPr>
            </w:pPr>
          </w:p>
        </w:tc>
      </w:tr>
      <w:tr w:rsidR="00105248" w:rsidRPr="00862F78" w:rsidTr="00E57F8B">
        <w:trPr>
          <w:trHeight w:val="450"/>
        </w:trPr>
        <w:tc>
          <w:tcPr>
            <w:tcW w:w="4111" w:type="dxa"/>
            <w:vMerge/>
            <w:tcBorders>
              <w:top w:val="nil"/>
              <w:left w:val="single" w:sz="4" w:space="0" w:color="auto"/>
              <w:bottom w:val="single" w:sz="4" w:space="0" w:color="auto"/>
              <w:right w:val="single" w:sz="4" w:space="0" w:color="auto"/>
            </w:tcBorders>
            <w:vAlign w:val="center"/>
            <w:hideMark/>
          </w:tcPr>
          <w:p w:rsidR="00105248" w:rsidRPr="00862F78" w:rsidRDefault="00105248" w:rsidP="00E57F8B">
            <w:pPr>
              <w:spacing w:after="0" w:line="240" w:lineRule="auto"/>
              <w:rPr>
                <w:rFonts w:ascii="Calibri" w:eastAsia="Times New Roman" w:hAnsi="Calibri" w:cs="Calibri"/>
                <w:color w:val="000000"/>
                <w:lang w:eastAsia="es-CO"/>
              </w:rPr>
            </w:pPr>
          </w:p>
        </w:tc>
        <w:tc>
          <w:tcPr>
            <w:tcW w:w="1418" w:type="dxa"/>
            <w:vMerge/>
            <w:tcBorders>
              <w:top w:val="nil"/>
              <w:left w:val="single" w:sz="4" w:space="0" w:color="auto"/>
              <w:bottom w:val="single" w:sz="4" w:space="0" w:color="auto"/>
              <w:right w:val="single" w:sz="4" w:space="0" w:color="auto"/>
            </w:tcBorders>
            <w:vAlign w:val="center"/>
            <w:hideMark/>
          </w:tcPr>
          <w:p w:rsidR="00105248" w:rsidRPr="00862F78" w:rsidRDefault="00105248" w:rsidP="00E57F8B">
            <w:pPr>
              <w:spacing w:after="0" w:line="240" w:lineRule="auto"/>
              <w:rPr>
                <w:rFonts w:ascii="Calibri" w:eastAsia="Times New Roman" w:hAnsi="Calibri" w:cs="Calibri"/>
                <w:color w:val="000000"/>
                <w:lang w:eastAsia="es-CO"/>
              </w:rPr>
            </w:pPr>
          </w:p>
        </w:tc>
        <w:tc>
          <w:tcPr>
            <w:tcW w:w="1417" w:type="dxa"/>
            <w:vMerge/>
            <w:tcBorders>
              <w:top w:val="nil"/>
              <w:left w:val="single" w:sz="4" w:space="0" w:color="auto"/>
              <w:bottom w:val="single" w:sz="4" w:space="0" w:color="auto"/>
              <w:right w:val="single" w:sz="4" w:space="0" w:color="auto"/>
            </w:tcBorders>
            <w:vAlign w:val="center"/>
            <w:hideMark/>
          </w:tcPr>
          <w:p w:rsidR="00105248" w:rsidRPr="00862F78" w:rsidRDefault="00105248" w:rsidP="00E57F8B">
            <w:pPr>
              <w:spacing w:after="0" w:line="240" w:lineRule="auto"/>
              <w:rPr>
                <w:rFonts w:ascii="Calibri" w:eastAsia="Times New Roman" w:hAnsi="Calibri" w:cs="Calibri"/>
                <w:color w:val="000000"/>
                <w:lang w:eastAsia="es-CO"/>
              </w:rPr>
            </w:pPr>
          </w:p>
        </w:tc>
        <w:tc>
          <w:tcPr>
            <w:tcW w:w="1418" w:type="dxa"/>
            <w:vMerge/>
            <w:tcBorders>
              <w:top w:val="nil"/>
              <w:left w:val="single" w:sz="4" w:space="0" w:color="auto"/>
              <w:bottom w:val="single" w:sz="4" w:space="0" w:color="auto"/>
              <w:right w:val="single" w:sz="4" w:space="0" w:color="auto"/>
            </w:tcBorders>
            <w:vAlign w:val="center"/>
            <w:hideMark/>
          </w:tcPr>
          <w:p w:rsidR="00105248" w:rsidRPr="00862F78" w:rsidRDefault="00105248" w:rsidP="00E57F8B">
            <w:pPr>
              <w:spacing w:after="0" w:line="240" w:lineRule="auto"/>
              <w:rPr>
                <w:rFonts w:ascii="Calibri" w:eastAsia="Times New Roman" w:hAnsi="Calibri" w:cs="Calibri"/>
                <w:color w:val="000000"/>
                <w:lang w:eastAsia="es-CO"/>
              </w:rPr>
            </w:pPr>
          </w:p>
        </w:tc>
        <w:tc>
          <w:tcPr>
            <w:tcW w:w="1417" w:type="dxa"/>
            <w:vMerge/>
            <w:tcBorders>
              <w:top w:val="nil"/>
              <w:left w:val="single" w:sz="4" w:space="0" w:color="auto"/>
              <w:bottom w:val="single" w:sz="4" w:space="0" w:color="auto"/>
              <w:right w:val="single" w:sz="4" w:space="0" w:color="auto"/>
            </w:tcBorders>
            <w:vAlign w:val="center"/>
            <w:hideMark/>
          </w:tcPr>
          <w:p w:rsidR="00105248" w:rsidRPr="00862F78" w:rsidRDefault="00105248" w:rsidP="00E57F8B">
            <w:pPr>
              <w:spacing w:after="0" w:line="240" w:lineRule="auto"/>
              <w:rPr>
                <w:rFonts w:ascii="Calibri" w:eastAsia="Times New Roman" w:hAnsi="Calibri" w:cs="Calibri"/>
                <w:color w:val="000000"/>
                <w:lang w:eastAsia="es-CO"/>
              </w:rPr>
            </w:pPr>
          </w:p>
        </w:tc>
      </w:tr>
      <w:tr w:rsidR="00105248" w:rsidRPr="00862F78" w:rsidTr="00E57F8B">
        <w:trPr>
          <w:trHeight w:val="450"/>
        </w:trPr>
        <w:tc>
          <w:tcPr>
            <w:tcW w:w="4111" w:type="dxa"/>
            <w:vMerge/>
            <w:tcBorders>
              <w:top w:val="nil"/>
              <w:left w:val="single" w:sz="4" w:space="0" w:color="auto"/>
              <w:bottom w:val="single" w:sz="4" w:space="0" w:color="auto"/>
              <w:right w:val="single" w:sz="4" w:space="0" w:color="auto"/>
            </w:tcBorders>
            <w:vAlign w:val="center"/>
            <w:hideMark/>
          </w:tcPr>
          <w:p w:rsidR="00105248" w:rsidRPr="00862F78" w:rsidRDefault="00105248" w:rsidP="00E57F8B">
            <w:pPr>
              <w:spacing w:after="0" w:line="240" w:lineRule="auto"/>
              <w:rPr>
                <w:rFonts w:ascii="Calibri" w:eastAsia="Times New Roman" w:hAnsi="Calibri" w:cs="Calibri"/>
                <w:color w:val="000000"/>
                <w:lang w:eastAsia="es-CO"/>
              </w:rPr>
            </w:pPr>
          </w:p>
        </w:tc>
        <w:tc>
          <w:tcPr>
            <w:tcW w:w="1418" w:type="dxa"/>
            <w:vMerge/>
            <w:tcBorders>
              <w:top w:val="nil"/>
              <w:left w:val="single" w:sz="4" w:space="0" w:color="auto"/>
              <w:bottom w:val="single" w:sz="4" w:space="0" w:color="auto"/>
              <w:right w:val="single" w:sz="4" w:space="0" w:color="auto"/>
            </w:tcBorders>
            <w:vAlign w:val="center"/>
            <w:hideMark/>
          </w:tcPr>
          <w:p w:rsidR="00105248" w:rsidRPr="00862F78" w:rsidRDefault="00105248" w:rsidP="00E57F8B">
            <w:pPr>
              <w:spacing w:after="0" w:line="240" w:lineRule="auto"/>
              <w:rPr>
                <w:rFonts w:ascii="Calibri" w:eastAsia="Times New Roman" w:hAnsi="Calibri" w:cs="Calibri"/>
                <w:color w:val="000000"/>
                <w:lang w:eastAsia="es-CO"/>
              </w:rPr>
            </w:pPr>
          </w:p>
        </w:tc>
        <w:tc>
          <w:tcPr>
            <w:tcW w:w="1417" w:type="dxa"/>
            <w:vMerge/>
            <w:tcBorders>
              <w:top w:val="nil"/>
              <w:left w:val="single" w:sz="4" w:space="0" w:color="auto"/>
              <w:bottom w:val="single" w:sz="4" w:space="0" w:color="auto"/>
              <w:right w:val="single" w:sz="4" w:space="0" w:color="auto"/>
            </w:tcBorders>
            <w:vAlign w:val="center"/>
            <w:hideMark/>
          </w:tcPr>
          <w:p w:rsidR="00105248" w:rsidRPr="00862F78" w:rsidRDefault="00105248" w:rsidP="00E57F8B">
            <w:pPr>
              <w:spacing w:after="0" w:line="240" w:lineRule="auto"/>
              <w:rPr>
                <w:rFonts w:ascii="Calibri" w:eastAsia="Times New Roman" w:hAnsi="Calibri" w:cs="Calibri"/>
                <w:color w:val="000000"/>
                <w:lang w:eastAsia="es-CO"/>
              </w:rPr>
            </w:pPr>
          </w:p>
        </w:tc>
        <w:tc>
          <w:tcPr>
            <w:tcW w:w="1418" w:type="dxa"/>
            <w:vMerge/>
            <w:tcBorders>
              <w:top w:val="nil"/>
              <w:left w:val="single" w:sz="4" w:space="0" w:color="auto"/>
              <w:bottom w:val="single" w:sz="4" w:space="0" w:color="auto"/>
              <w:right w:val="single" w:sz="4" w:space="0" w:color="auto"/>
            </w:tcBorders>
            <w:vAlign w:val="center"/>
            <w:hideMark/>
          </w:tcPr>
          <w:p w:rsidR="00105248" w:rsidRPr="00862F78" w:rsidRDefault="00105248" w:rsidP="00E57F8B">
            <w:pPr>
              <w:spacing w:after="0" w:line="240" w:lineRule="auto"/>
              <w:rPr>
                <w:rFonts w:ascii="Calibri" w:eastAsia="Times New Roman" w:hAnsi="Calibri" w:cs="Calibri"/>
                <w:color w:val="000000"/>
                <w:lang w:eastAsia="es-CO"/>
              </w:rPr>
            </w:pPr>
          </w:p>
        </w:tc>
        <w:tc>
          <w:tcPr>
            <w:tcW w:w="1417" w:type="dxa"/>
            <w:vMerge/>
            <w:tcBorders>
              <w:top w:val="nil"/>
              <w:left w:val="single" w:sz="4" w:space="0" w:color="auto"/>
              <w:bottom w:val="single" w:sz="4" w:space="0" w:color="auto"/>
              <w:right w:val="single" w:sz="4" w:space="0" w:color="auto"/>
            </w:tcBorders>
            <w:vAlign w:val="center"/>
            <w:hideMark/>
          </w:tcPr>
          <w:p w:rsidR="00105248" w:rsidRPr="00862F78" w:rsidRDefault="00105248" w:rsidP="00E57F8B">
            <w:pPr>
              <w:spacing w:after="0" w:line="240" w:lineRule="auto"/>
              <w:rPr>
                <w:rFonts w:ascii="Calibri" w:eastAsia="Times New Roman" w:hAnsi="Calibri" w:cs="Calibri"/>
                <w:color w:val="000000"/>
                <w:lang w:eastAsia="es-CO"/>
              </w:rPr>
            </w:pPr>
          </w:p>
        </w:tc>
      </w:tr>
      <w:tr w:rsidR="00105248" w:rsidRPr="00862F78" w:rsidTr="00E57F8B">
        <w:trPr>
          <w:trHeight w:val="450"/>
        </w:trPr>
        <w:tc>
          <w:tcPr>
            <w:tcW w:w="4111" w:type="dxa"/>
            <w:vMerge w:val="restart"/>
            <w:tcBorders>
              <w:top w:val="nil"/>
              <w:left w:val="single" w:sz="4" w:space="0" w:color="auto"/>
              <w:bottom w:val="single" w:sz="4" w:space="0" w:color="auto"/>
              <w:right w:val="single" w:sz="4" w:space="0" w:color="auto"/>
            </w:tcBorders>
            <w:shd w:val="clear" w:color="auto" w:fill="auto"/>
            <w:vAlign w:val="center"/>
            <w:hideMark/>
          </w:tcPr>
          <w:p w:rsidR="00105248" w:rsidRPr="00862F78" w:rsidRDefault="00105248" w:rsidP="00E57F8B">
            <w:pPr>
              <w:spacing w:after="0" w:line="240" w:lineRule="auto"/>
              <w:rPr>
                <w:rFonts w:ascii="Calibri" w:eastAsia="Times New Roman" w:hAnsi="Calibri" w:cs="Calibri"/>
                <w:color w:val="000000"/>
                <w:lang w:eastAsia="es-CO"/>
              </w:rPr>
            </w:pPr>
            <w:r w:rsidRPr="00862F78">
              <w:rPr>
                <w:rFonts w:ascii="Calibri" w:eastAsia="Times New Roman" w:hAnsi="Calibri" w:cs="Calibri"/>
                <w:color w:val="000000"/>
                <w:lang w:eastAsia="es-CO"/>
              </w:rPr>
              <w:t xml:space="preserve">ADQUISICIÓN DE ÁREAS DE INTERÉS PARA EL ACUEDUCTO MUNICIPAL </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05248" w:rsidRPr="00862F78" w:rsidRDefault="00105248" w:rsidP="00E57F8B">
            <w:pPr>
              <w:spacing w:after="0" w:line="240" w:lineRule="auto"/>
              <w:jc w:val="center"/>
              <w:rPr>
                <w:rFonts w:ascii="Calibri" w:eastAsia="Times New Roman" w:hAnsi="Calibri" w:cs="Calibri"/>
                <w:color w:val="000000"/>
                <w:lang w:eastAsia="es-CO"/>
              </w:rPr>
            </w:pPr>
            <w:r w:rsidRPr="00862F78">
              <w:rPr>
                <w:rFonts w:ascii="Calibri" w:eastAsia="Times New Roman" w:hAnsi="Calibri" w:cs="Calibri"/>
                <w:color w:val="000000"/>
                <w:lang w:eastAsia="es-CO"/>
              </w:rPr>
              <w:t>0,14%</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05248" w:rsidRPr="00862F78" w:rsidRDefault="00105248" w:rsidP="00E57F8B">
            <w:pPr>
              <w:spacing w:after="0" w:line="240" w:lineRule="auto"/>
              <w:jc w:val="center"/>
              <w:rPr>
                <w:rFonts w:ascii="Calibri" w:eastAsia="Times New Roman" w:hAnsi="Calibri" w:cs="Calibri"/>
                <w:color w:val="000000"/>
                <w:lang w:eastAsia="es-CO"/>
              </w:rPr>
            </w:pPr>
            <w:r w:rsidRPr="00862F78">
              <w:rPr>
                <w:rFonts w:ascii="Calibri" w:eastAsia="Times New Roman" w:hAnsi="Calibri" w:cs="Calibri"/>
                <w:color w:val="000000"/>
                <w:lang w:eastAsia="es-CO"/>
              </w:rPr>
              <w:t>0,13%</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05248" w:rsidRPr="00862F78" w:rsidRDefault="00105248" w:rsidP="00E57F8B">
            <w:pPr>
              <w:spacing w:after="0" w:line="240" w:lineRule="auto"/>
              <w:jc w:val="center"/>
              <w:rPr>
                <w:rFonts w:ascii="Calibri" w:eastAsia="Times New Roman" w:hAnsi="Calibri" w:cs="Calibri"/>
                <w:color w:val="000000"/>
                <w:lang w:eastAsia="es-CO"/>
              </w:rPr>
            </w:pPr>
            <w:r w:rsidRPr="00862F78">
              <w:rPr>
                <w:rFonts w:ascii="Calibri" w:eastAsia="Times New Roman" w:hAnsi="Calibri" w:cs="Calibri"/>
                <w:color w:val="000000"/>
                <w:lang w:eastAsia="es-CO"/>
              </w:rPr>
              <w:t>0,06%</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05248" w:rsidRPr="00862F78" w:rsidRDefault="00105248" w:rsidP="00E57F8B">
            <w:pPr>
              <w:spacing w:after="0" w:line="240" w:lineRule="auto"/>
              <w:jc w:val="center"/>
              <w:rPr>
                <w:rFonts w:ascii="Calibri" w:eastAsia="Times New Roman" w:hAnsi="Calibri" w:cs="Calibri"/>
                <w:color w:val="000000"/>
                <w:lang w:eastAsia="es-CO"/>
              </w:rPr>
            </w:pPr>
            <w:r w:rsidRPr="00862F78">
              <w:rPr>
                <w:rFonts w:ascii="Calibri" w:eastAsia="Times New Roman" w:hAnsi="Calibri" w:cs="Calibri"/>
                <w:color w:val="000000"/>
                <w:lang w:eastAsia="es-CO"/>
              </w:rPr>
              <w:t>0,24%</w:t>
            </w:r>
          </w:p>
        </w:tc>
      </w:tr>
      <w:tr w:rsidR="00105248" w:rsidRPr="00862F78" w:rsidTr="00E57F8B">
        <w:trPr>
          <w:trHeight w:val="450"/>
        </w:trPr>
        <w:tc>
          <w:tcPr>
            <w:tcW w:w="4111" w:type="dxa"/>
            <w:vMerge/>
            <w:tcBorders>
              <w:top w:val="nil"/>
              <w:left w:val="single" w:sz="4" w:space="0" w:color="auto"/>
              <w:bottom w:val="single" w:sz="4" w:space="0" w:color="auto"/>
              <w:right w:val="single" w:sz="4" w:space="0" w:color="auto"/>
            </w:tcBorders>
            <w:vAlign w:val="center"/>
            <w:hideMark/>
          </w:tcPr>
          <w:p w:rsidR="00105248" w:rsidRPr="00862F78" w:rsidRDefault="00105248" w:rsidP="00E57F8B">
            <w:pPr>
              <w:spacing w:after="0" w:line="240" w:lineRule="auto"/>
              <w:rPr>
                <w:rFonts w:ascii="Calibri" w:eastAsia="Times New Roman" w:hAnsi="Calibri" w:cs="Calibri"/>
                <w:color w:val="000000"/>
                <w:lang w:eastAsia="es-CO"/>
              </w:rPr>
            </w:pPr>
          </w:p>
        </w:tc>
        <w:tc>
          <w:tcPr>
            <w:tcW w:w="1418" w:type="dxa"/>
            <w:vMerge/>
            <w:tcBorders>
              <w:top w:val="nil"/>
              <w:left w:val="single" w:sz="4" w:space="0" w:color="auto"/>
              <w:bottom w:val="single" w:sz="4" w:space="0" w:color="auto"/>
              <w:right w:val="single" w:sz="4" w:space="0" w:color="auto"/>
            </w:tcBorders>
            <w:vAlign w:val="center"/>
            <w:hideMark/>
          </w:tcPr>
          <w:p w:rsidR="00105248" w:rsidRPr="00862F78" w:rsidRDefault="00105248" w:rsidP="00E57F8B">
            <w:pPr>
              <w:spacing w:after="0" w:line="240" w:lineRule="auto"/>
              <w:rPr>
                <w:rFonts w:ascii="Calibri" w:eastAsia="Times New Roman" w:hAnsi="Calibri" w:cs="Calibri"/>
                <w:color w:val="000000"/>
                <w:lang w:eastAsia="es-CO"/>
              </w:rPr>
            </w:pPr>
          </w:p>
        </w:tc>
        <w:tc>
          <w:tcPr>
            <w:tcW w:w="1417" w:type="dxa"/>
            <w:vMerge/>
            <w:tcBorders>
              <w:top w:val="nil"/>
              <w:left w:val="single" w:sz="4" w:space="0" w:color="auto"/>
              <w:bottom w:val="single" w:sz="4" w:space="0" w:color="auto"/>
              <w:right w:val="single" w:sz="4" w:space="0" w:color="auto"/>
            </w:tcBorders>
            <w:vAlign w:val="center"/>
            <w:hideMark/>
          </w:tcPr>
          <w:p w:rsidR="00105248" w:rsidRPr="00862F78" w:rsidRDefault="00105248" w:rsidP="00E57F8B">
            <w:pPr>
              <w:spacing w:after="0" w:line="240" w:lineRule="auto"/>
              <w:rPr>
                <w:rFonts w:ascii="Calibri" w:eastAsia="Times New Roman" w:hAnsi="Calibri" w:cs="Calibri"/>
                <w:color w:val="000000"/>
                <w:lang w:eastAsia="es-CO"/>
              </w:rPr>
            </w:pPr>
          </w:p>
        </w:tc>
        <w:tc>
          <w:tcPr>
            <w:tcW w:w="1418" w:type="dxa"/>
            <w:vMerge/>
            <w:tcBorders>
              <w:top w:val="nil"/>
              <w:left w:val="single" w:sz="4" w:space="0" w:color="auto"/>
              <w:bottom w:val="single" w:sz="4" w:space="0" w:color="auto"/>
              <w:right w:val="single" w:sz="4" w:space="0" w:color="auto"/>
            </w:tcBorders>
            <w:vAlign w:val="center"/>
            <w:hideMark/>
          </w:tcPr>
          <w:p w:rsidR="00105248" w:rsidRPr="00862F78" w:rsidRDefault="00105248" w:rsidP="00E57F8B">
            <w:pPr>
              <w:spacing w:after="0" w:line="240" w:lineRule="auto"/>
              <w:rPr>
                <w:rFonts w:ascii="Calibri" w:eastAsia="Times New Roman" w:hAnsi="Calibri" w:cs="Calibri"/>
                <w:color w:val="000000"/>
                <w:lang w:eastAsia="es-CO"/>
              </w:rPr>
            </w:pPr>
          </w:p>
        </w:tc>
        <w:tc>
          <w:tcPr>
            <w:tcW w:w="1417" w:type="dxa"/>
            <w:vMerge/>
            <w:tcBorders>
              <w:top w:val="nil"/>
              <w:left w:val="single" w:sz="4" w:space="0" w:color="auto"/>
              <w:bottom w:val="single" w:sz="4" w:space="0" w:color="auto"/>
              <w:right w:val="single" w:sz="4" w:space="0" w:color="auto"/>
            </w:tcBorders>
            <w:vAlign w:val="center"/>
            <w:hideMark/>
          </w:tcPr>
          <w:p w:rsidR="00105248" w:rsidRPr="00862F78" w:rsidRDefault="00105248" w:rsidP="00E57F8B">
            <w:pPr>
              <w:spacing w:after="0" w:line="240" w:lineRule="auto"/>
              <w:rPr>
                <w:rFonts w:ascii="Calibri" w:eastAsia="Times New Roman" w:hAnsi="Calibri" w:cs="Calibri"/>
                <w:color w:val="000000"/>
                <w:lang w:eastAsia="es-CO"/>
              </w:rPr>
            </w:pPr>
          </w:p>
        </w:tc>
      </w:tr>
      <w:tr w:rsidR="00105248" w:rsidRPr="00862F78" w:rsidTr="00E57F8B">
        <w:trPr>
          <w:trHeight w:val="90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105248" w:rsidRPr="00862F78" w:rsidRDefault="00105248" w:rsidP="00E57F8B">
            <w:pPr>
              <w:spacing w:after="0" w:line="240" w:lineRule="auto"/>
              <w:rPr>
                <w:rFonts w:ascii="Calibri" w:eastAsia="Times New Roman" w:hAnsi="Calibri" w:cs="Calibri"/>
                <w:color w:val="000000"/>
                <w:lang w:eastAsia="es-CO"/>
              </w:rPr>
            </w:pPr>
            <w:r w:rsidRPr="00862F78">
              <w:rPr>
                <w:rFonts w:ascii="Calibri" w:eastAsia="Times New Roman" w:hAnsi="Calibri" w:cs="Calibri"/>
                <w:color w:val="000000"/>
                <w:lang w:eastAsia="es-CO"/>
              </w:rPr>
              <w:t xml:space="preserve">CONSERVACIÓN DE MICROCUENCAS QUE ABASTECEN EL ACUEDUCTO, PROTECCIÓN DE FUENTES Y REFORESTACIÓN DE DICHAS CUENCAS </w:t>
            </w:r>
          </w:p>
        </w:tc>
        <w:tc>
          <w:tcPr>
            <w:tcW w:w="1418" w:type="dxa"/>
            <w:tcBorders>
              <w:top w:val="nil"/>
              <w:left w:val="nil"/>
              <w:bottom w:val="single" w:sz="4" w:space="0" w:color="auto"/>
              <w:right w:val="single" w:sz="4" w:space="0" w:color="auto"/>
            </w:tcBorders>
            <w:shd w:val="clear" w:color="auto" w:fill="auto"/>
            <w:noWrap/>
            <w:vAlign w:val="center"/>
            <w:hideMark/>
          </w:tcPr>
          <w:p w:rsidR="00105248" w:rsidRPr="00862F78" w:rsidRDefault="00105248" w:rsidP="00E57F8B">
            <w:pPr>
              <w:spacing w:after="0" w:line="240" w:lineRule="auto"/>
              <w:jc w:val="center"/>
              <w:rPr>
                <w:rFonts w:ascii="Calibri" w:eastAsia="Times New Roman" w:hAnsi="Calibri" w:cs="Calibri"/>
                <w:color w:val="000000"/>
                <w:lang w:eastAsia="es-CO"/>
              </w:rPr>
            </w:pPr>
            <w:r w:rsidRPr="00862F78">
              <w:rPr>
                <w:rFonts w:ascii="Calibri" w:eastAsia="Times New Roman" w:hAnsi="Calibri" w:cs="Calibri"/>
                <w:color w:val="000000"/>
                <w:lang w:eastAsia="es-CO"/>
              </w:rPr>
              <w:t> </w:t>
            </w:r>
          </w:p>
        </w:tc>
        <w:tc>
          <w:tcPr>
            <w:tcW w:w="1417" w:type="dxa"/>
            <w:tcBorders>
              <w:top w:val="nil"/>
              <w:left w:val="nil"/>
              <w:bottom w:val="single" w:sz="4" w:space="0" w:color="auto"/>
              <w:right w:val="single" w:sz="4" w:space="0" w:color="auto"/>
            </w:tcBorders>
            <w:shd w:val="clear" w:color="auto" w:fill="auto"/>
            <w:noWrap/>
            <w:vAlign w:val="center"/>
            <w:hideMark/>
          </w:tcPr>
          <w:p w:rsidR="00105248" w:rsidRPr="00862F78" w:rsidRDefault="00105248" w:rsidP="00E57F8B">
            <w:pPr>
              <w:spacing w:after="0" w:line="240" w:lineRule="auto"/>
              <w:jc w:val="center"/>
              <w:rPr>
                <w:rFonts w:ascii="Calibri" w:eastAsia="Times New Roman" w:hAnsi="Calibri" w:cs="Calibri"/>
                <w:color w:val="000000"/>
                <w:lang w:eastAsia="es-CO"/>
              </w:rPr>
            </w:pPr>
            <w:r w:rsidRPr="00862F78">
              <w:rPr>
                <w:rFonts w:ascii="Calibri" w:eastAsia="Times New Roman" w:hAnsi="Calibri" w:cs="Calibri"/>
                <w:color w:val="000000"/>
                <w:lang w:eastAsia="es-CO"/>
              </w:rPr>
              <w:t> </w:t>
            </w:r>
          </w:p>
        </w:tc>
        <w:tc>
          <w:tcPr>
            <w:tcW w:w="1418" w:type="dxa"/>
            <w:tcBorders>
              <w:top w:val="nil"/>
              <w:left w:val="nil"/>
              <w:bottom w:val="single" w:sz="4" w:space="0" w:color="auto"/>
              <w:right w:val="single" w:sz="4" w:space="0" w:color="auto"/>
            </w:tcBorders>
            <w:shd w:val="clear" w:color="auto" w:fill="auto"/>
            <w:noWrap/>
            <w:vAlign w:val="center"/>
            <w:hideMark/>
          </w:tcPr>
          <w:p w:rsidR="00105248" w:rsidRPr="00862F78" w:rsidRDefault="00105248" w:rsidP="00E57F8B">
            <w:pPr>
              <w:spacing w:after="0" w:line="240" w:lineRule="auto"/>
              <w:jc w:val="center"/>
              <w:rPr>
                <w:rFonts w:ascii="Calibri" w:eastAsia="Times New Roman" w:hAnsi="Calibri" w:cs="Calibri"/>
                <w:color w:val="000000"/>
                <w:lang w:eastAsia="es-CO"/>
              </w:rPr>
            </w:pPr>
            <w:r w:rsidRPr="00862F78">
              <w:rPr>
                <w:rFonts w:ascii="Calibri" w:eastAsia="Times New Roman" w:hAnsi="Calibri" w:cs="Calibri"/>
                <w:color w:val="000000"/>
                <w:lang w:eastAsia="es-CO"/>
              </w:rPr>
              <w:t>0,09%</w:t>
            </w:r>
          </w:p>
        </w:tc>
        <w:tc>
          <w:tcPr>
            <w:tcW w:w="1417" w:type="dxa"/>
            <w:tcBorders>
              <w:top w:val="nil"/>
              <w:left w:val="nil"/>
              <w:bottom w:val="single" w:sz="4" w:space="0" w:color="auto"/>
              <w:right w:val="single" w:sz="4" w:space="0" w:color="auto"/>
            </w:tcBorders>
            <w:shd w:val="clear" w:color="auto" w:fill="auto"/>
            <w:noWrap/>
            <w:vAlign w:val="center"/>
            <w:hideMark/>
          </w:tcPr>
          <w:p w:rsidR="00105248" w:rsidRPr="00862F78" w:rsidRDefault="00105248" w:rsidP="00E57F8B">
            <w:pPr>
              <w:spacing w:after="0" w:line="240" w:lineRule="auto"/>
              <w:jc w:val="center"/>
              <w:rPr>
                <w:rFonts w:ascii="Calibri" w:eastAsia="Times New Roman" w:hAnsi="Calibri" w:cs="Calibri"/>
                <w:color w:val="000000"/>
                <w:lang w:eastAsia="es-CO"/>
              </w:rPr>
            </w:pPr>
            <w:r w:rsidRPr="00862F78">
              <w:rPr>
                <w:rFonts w:ascii="Calibri" w:eastAsia="Times New Roman" w:hAnsi="Calibri" w:cs="Calibri"/>
                <w:color w:val="000000"/>
                <w:lang w:eastAsia="es-CO"/>
              </w:rPr>
              <w:t> </w:t>
            </w:r>
          </w:p>
        </w:tc>
      </w:tr>
    </w:tbl>
    <w:p w:rsidR="00105248" w:rsidRDefault="00105248" w:rsidP="00105248">
      <w:pPr>
        <w:jc w:val="center"/>
        <w:rPr>
          <w:sz w:val="20"/>
          <w:lang w:val="es-ES"/>
        </w:rPr>
      </w:pPr>
    </w:p>
    <w:p w:rsidR="00105248" w:rsidRDefault="00105248" w:rsidP="00105248">
      <w:pPr>
        <w:jc w:val="both"/>
        <w:rPr>
          <w:lang w:val="es-ES"/>
        </w:rPr>
      </w:pPr>
      <w:r>
        <w:rPr>
          <w:lang w:val="es-ES"/>
        </w:rPr>
        <w:t xml:space="preserve">Dentro de estos gastos de inversión es importante resaltar las fuentes de recursos para las mismas. Las fuentes de recursos para la inversión en el tema agrícola y ambiental, específicamente para Caquetá, son: </w:t>
      </w:r>
    </w:p>
    <w:p w:rsidR="00105248" w:rsidRDefault="00105248" w:rsidP="00105248">
      <w:pPr>
        <w:pStyle w:val="Prrafodelista"/>
        <w:numPr>
          <w:ilvl w:val="0"/>
          <w:numId w:val="10"/>
        </w:numPr>
        <w:jc w:val="both"/>
        <w:rPr>
          <w:lang w:val="es-ES"/>
        </w:rPr>
      </w:pPr>
      <w:r>
        <w:rPr>
          <w:lang w:val="es-ES"/>
        </w:rPr>
        <w:t>Ingresos corrientes de libre destinación excepto el 42% de libre destinación de propósito general de municipios de categoría 4, 5 y  6. ($1.555 millones de pesos para el 2018)</w:t>
      </w:r>
    </w:p>
    <w:p w:rsidR="00105248" w:rsidRDefault="00105248" w:rsidP="00105248">
      <w:pPr>
        <w:pStyle w:val="Prrafodelista"/>
        <w:numPr>
          <w:ilvl w:val="0"/>
          <w:numId w:val="10"/>
        </w:numPr>
        <w:jc w:val="both"/>
        <w:rPr>
          <w:lang w:val="es-ES"/>
        </w:rPr>
      </w:pPr>
      <w:r>
        <w:rPr>
          <w:lang w:val="es-ES"/>
        </w:rPr>
        <w:t>Cofinanciación nacional. ($865 millones de pesos para el 2018)</w:t>
      </w:r>
    </w:p>
    <w:p w:rsidR="00105248" w:rsidRDefault="00105248" w:rsidP="00105248">
      <w:pPr>
        <w:pStyle w:val="Prrafodelista"/>
        <w:numPr>
          <w:ilvl w:val="0"/>
          <w:numId w:val="10"/>
        </w:numPr>
        <w:jc w:val="both"/>
        <w:rPr>
          <w:lang w:val="es-ES"/>
        </w:rPr>
      </w:pPr>
      <w:r>
        <w:rPr>
          <w:lang w:val="es-ES"/>
        </w:rPr>
        <w:t>Otros recursos de capital. Rendimientos financieros de la venta de activos, donaciones de recursos de balance de ingresos corrientes de libre destinación y/o de ingresos corrientes con destinación especifica. ($638.800 millones de pesos para el 2018)</w:t>
      </w:r>
    </w:p>
    <w:p w:rsidR="00105248" w:rsidRDefault="00105248" w:rsidP="00105248">
      <w:pPr>
        <w:pStyle w:val="Prrafodelista"/>
        <w:numPr>
          <w:ilvl w:val="0"/>
          <w:numId w:val="10"/>
        </w:numPr>
        <w:jc w:val="both"/>
        <w:rPr>
          <w:lang w:val="es-ES"/>
        </w:rPr>
      </w:pPr>
      <w:r>
        <w:rPr>
          <w:lang w:val="es-ES"/>
        </w:rPr>
        <w:t>Ingresos corrientes con destinación especifica – recursos propios. ($1.552 mil millones de pesos para el 2018)</w:t>
      </w:r>
    </w:p>
    <w:p w:rsidR="00105248" w:rsidRDefault="00105248" w:rsidP="00105248">
      <w:pPr>
        <w:pStyle w:val="Prrafodelista"/>
        <w:numPr>
          <w:ilvl w:val="0"/>
          <w:numId w:val="10"/>
        </w:numPr>
        <w:jc w:val="both"/>
        <w:rPr>
          <w:lang w:val="es-ES"/>
        </w:rPr>
      </w:pPr>
      <w:r>
        <w:rPr>
          <w:lang w:val="es-ES"/>
        </w:rPr>
        <w:t>Otros aportes o transferencias nacionales. ($1.232 millones de pesos para el 2018)</w:t>
      </w:r>
    </w:p>
    <w:p w:rsidR="00105248" w:rsidRDefault="00105248" w:rsidP="00105248">
      <w:pPr>
        <w:pStyle w:val="Prrafodelista"/>
        <w:jc w:val="both"/>
        <w:rPr>
          <w:lang w:val="es-ES"/>
        </w:rPr>
      </w:pPr>
    </w:p>
    <w:p w:rsidR="00105248" w:rsidRDefault="00105248" w:rsidP="00105248">
      <w:pPr>
        <w:jc w:val="both"/>
        <w:rPr>
          <w:lang w:val="es-ES"/>
        </w:rPr>
      </w:pPr>
      <w:r>
        <w:rPr>
          <w:lang w:val="es-ES"/>
        </w:rPr>
        <w:t xml:space="preserve">Si tomamos como referencia la falta de ejecución presupuestal para la libre destinación, que fue de 64%, y suponemos que se reparte de manera equitativa entre todos los rubros, $4.319  millones de pesos en total se debieron haber ejecutado para estas áreas. Es decir, $2.765 millones de pesos se dejaron de ejecutar que podrían servir para el desarrollo de programas y proyecto productivos o </w:t>
      </w:r>
      <w:r>
        <w:rPr>
          <w:lang w:val="es-ES"/>
        </w:rPr>
        <w:lastRenderedPageBreak/>
        <w:t xml:space="preserve">programas y proyectos de asistencia técnica directa rural, incluidos incentivos financieros que contemplen este tipo de estrategias. </w:t>
      </w:r>
    </w:p>
    <w:p w:rsidR="00105248" w:rsidRDefault="00105248" w:rsidP="00105248">
      <w:pPr>
        <w:jc w:val="both"/>
        <w:rPr>
          <w:lang w:val="es-ES"/>
        </w:rPr>
      </w:pPr>
      <w:r>
        <w:rPr>
          <w:lang w:val="es-ES"/>
        </w:rPr>
        <w:t xml:space="preserve">A este dinero que no se ejecutó, se puede ejecutar los ingresos corrientes de destinación especifica para el caso concreto de adquisición de áreas de interés para el acueducto municipal, que para el 2018 alcanzaron los $1.552 millones de pesos. </w:t>
      </w:r>
    </w:p>
    <w:p w:rsidR="00105248" w:rsidRDefault="00105248" w:rsidP="00105248">
      <w:pPr>
        <w:jc w:val="both"/>
        <w:rPr>
          <w:lang w:val="es-ES"/>
        </w:rPr>
      </w:pPr>
    </w:p>
    <w:p w:rsidR="00105248" w:rsidRPr="005B53FB" w:rsidRDefault="00105248" w:rsidP="004726F7">
      <w:pPr>
        <w:pStyle w:val="Ttulo4"/>
        <w:rPr>
          <w:lang w:val="es-ES"/>
        </w:rPr>
      </w:pPr>
      <w:r w:rsidRPr="005B53FB">
        <w:rPr>
          <w:lang w:val="es-ES"/>
        </w:rPr>
        <w:t>Impuesto al Carbono</w:t>
      </w:r>
    </w:p>
    <w:p w:rsidR="00105248" w:rsidRDefault="00105248" w:rsidP="00105248">
      <w:pPr>
        <w:jc w:val="both"/>
        <w:rPr>
          <w:lang w:val="es-ES"/>
        </w:rPr>
      </w:pPr>
      <w:r>
        <w:rPr>
          <w:lang w:val="es-ES"/>
        </w:rPr>
        <w:t xml:space="preserve">De acuerdo con el Ministerio de Hacienda y Crédito Público, para el año 2017 se recaudaron cerca de $700 mil millones de pesos con el impuesto al carbono. De este recaudo anual aproximado, un 25% ($175.000 millones pesos) se debe destinar al manejo, entre otras cosas, de la reducción de la deforestación, la conservación de fuentes hídricas y ecosistemas estratégicos, acciones encaminadas al cambio climático y al pago por servicios ambientales. </w:t>
      </w:r>
    </w:p>
    <w:p w:rsidR="00105248" w:rsidRPr="001A13CB" w:rsidRDefault="00105248" w:rsidP="00105248">
      <w:pPr>
        <w:jc w:val="both"/>
        <w:rPr>
          <w:noProof/>
          <w:lang w:val="es-ES"/>
        </w:rPr>
      </w:pPr>
    </w:p>
    <w:p w:rsidR="00105248" w:rsidRPr="001A13CB" w:rsidRDefault="00105248" w:rsidP="00330D5C">
      <w:pPr>
        <w:pStyle w:val="Ttulo4"/>
        <w:rPr>
          <w:noProof/>
          <w:lang w:val="es-ES"/>
        </w:rPr>
      </w:pPr>
      <w:r w:rsidRPr="001A13CB">
        <w:rPr>
          <w:noProof/>
          <w:lang w:val="es-ES"/>
        </w:rPr>
        <w:t xml:space="preserve">Certificado de Incentivo Forestal – CIF </w:t>
      </w:r>
    </w:p>
    <w:p w:rsidR="00105248" w:rsidRDefault="00105248" w:rsidP="00105248">
      <w:pPr>
        <w:jc w:val="both"/>
        <w:rPr>
          <w:noProof/>
          <w:lang w:val="es-ES"/>
        </w:rPr>
      </w:pPr>
      <w:r>
        <w:rPr>
          <w:noProof/>
          <w:lang w:val="es-ES"/>
        </w:rPr>
        <w:t xml:space="preserve">De acuerdo con el Artículo 4to de la Ley 139 de 1994, el certificado de incentivo forestal tendrá una cuantía hasta de: </w:t>
      </w:r>
    </w:p>
    <w:p w:rsidR="00105248" w:rsidRDefault="00105248" w:rsidP="00105248">
      <w:pPr>
        <w:pStyle w:val="Prrafodelista"/>
        <w:numPr>
          <w:ilvl w:val="0"/>
          <w:numId w:val="5"/>
        </w:numPr>
        <w:jc w:val="both"/>
        <w:rPr>
          <w:noProof/>
          <w:lang w:val="es-ES"/>
        </w:rPr>
      </w:pPr>
      <w:r>
        <w:rPr>
          <w:noProof/>
          <w:lang w:val="es-ES"/>
        </w:rPr>
        <w:t xml:space="preserve">El 75% de los costos totales netos de establecimiento de plantaciones con especies autóctonas, o el 50% de los costos a plantaciones con especies introducidas, siempre y cuando se trate de plantaciones con densidades superiores a 1.000 árboles por hectárea. Cuando la densidad sea inferior a esta cifra, sin que sea menor de cincuenta árboles por hectárea, el valor se determinará proporcional por árbol. </w:t>
      </w:r>
    </w:p>
    <w:p w:rsidR="00105248" w:rsidRDefault="00105248" w:rsidP="00105248">
      <w:pPr>
        <w:pStyle w:val="Prrafodelista"/>
        <w:numPr>
          <w:ilvl w:val="0"/>
          <w:numId w:val="5"/>
        </w:numPr>
        <w:jc w:val="both"/>
        <w:rPr>
          <w:noProof/>
          <w:lang w:val="es-ES"/>
        </w:rPr>
      </w:pPr>
      <w:r>
        <w:rPr>
          <w:noProof/>
          <w:lang w:val="es-ES"/>
        </w:rPr>
        <w:t xml:space="preserve">El 50% de los costos totales netos de mantenimiento en que se incurra desde el segundo hasta el quinto año despues de efectuada la plantacion, cualquiera que sea el tipo de especie. </w:t>
      </w:r>
    </w:p>
    <w:p w:rsidR="00105248" w:rsidRDefault="00105248" w:rsidP="00105248">
      <w:pPr>
        <w:pStyle w:val="Prrafodelista"/>
        <w:numPr>
          <w:ilvl w:val="0"/>
          <w:numId w:val="5"/>
        </w:numPr>
        <w:jc w:val="both"/>
        <w:rPr>
          <w:noProof/>
          <w:lang w:val="es-ES"/>
        </w:rPr>
      </w:pPr>
      <w:r>
        <w:rPr>
          <w:noProof/>
          <w:lang w:val="es-ES"/>
        </w:rPr>
        <w:t xml:space="preserve">El 75% de los costos totales en que se incurra durante los primeros cinco años correspondientes al mantenimiento de las areas de bosque natural que se encuentra dentro de un plan de establecimiento y manejo forestal. </w:t>
      </w:r>
    </w:p>
    <w:p w:rsidR="00105248" w:rsidRDefault="00105248" w:rsidP="00105248">
      <w:pPr>
        <w:jc w:val="both"/>
        <w:rPr>
          <w:noProof/>
          <w:lang w:val="es-ES"/>
        </w:rPr>
      </w:pPr>
      <w:r>
        <w:rPr>
          <w:noProof/>
          <w:lang w:val="es-ES"/>
        </w:rPr>
        <w:t xml:space="preserve">Este tipo de incentivos puede ser muy bueno ya que apalanca los proyectos casi en su totalidad. De igual manera, un incentivo de este tipo puede ser adaptado a otro tipo de necesidades, como lo es la proteccion de los bosques permitiendo otras plantaciones como los arreglos agroforestales. </w:t>
      </w:r>
    </w:p>
    <w:p w:rsidR="004F163A" w:rsidRDefault="004F163A" w:rsidP="00105248">
      <w:pPr>
        <w:jc w:val="both"/>
        <w:rPr>
          <w:noProof/>
          <w:lang w:val="es-ES"/>
        </w:rPr>
      </w:pPr>
    </w:p>
    <w:p w:rsidR="004F163A" w:rsidRPr="00A14037" w:rsidRDefault="004F163A" w:rsidP="00105248">
      <w:pPr>
        <w:jc w:val="both"/>
        <w:rPr>
          <w:noProof/>
          <w:lang w:val="es-ES"/>
        </w:rPr>
      </w:pPr>
    </w:p>
    <w:p w:rsidR="00105248" w:rsidRPr="007B1E53" w:rsidRDefault="007B1E53" w:rsidP="00330D5C">
      <w:pPr>
        <w:pStyle w:val="Ttulo4"/>
      </w:pPr>
      <w:r w:rsidRPr="007B1E53">
        <w:t xml:space="preserve">Estampilla prodesarrollo amazonico </w:t>
      </w:r>
    </w:p>
    <w:p w:rsidR="004F163A" w:rsidRDefault="004F163A" w:rsidP="004F163A">
      <w:pPr>
        <w:jc w:val="both"/>
      </w:pPr>
      <w:r>
        <w:t xml:space="preserve">La “Estampilla pro-desarrollo amazónico” podrá ser emitida por las Asambleas de los Departamentos Amazónicos hasta por la suma de cincuenta mil millones de pesos constantes en el año de aprobación de la Ley. Adicionalmente, estos departamentos podrán ordenar la emisión hasta de cincuenta mil millones de pesos, a partir de la verificación de la disminución de las hectáreas deforestadas según el sistema de monitoreo del IDEAM en el período de aprobación de la estampilla. La distribución del valor extra que se podrá emitir será de la siguiente manera: </w:t>
      </w:r>
    </w:p>
    <w:p w:rsidR="004F163A" w:rsidRDefault="004F163A" w:rsidP="004F163A">
      <w:pPr>
        <w:pStyle w:val="Prrafodelista"/>
        <w:jc w:val="both"/>
      </w:pPr>
    </w:p>
    <w:tbl>
      <w:tblPr>
        <w:tblW w:w="4673" w:type="dxa"/>
        <w:jc w:val="center"/>
        <w:tblCellMar>
          <w:left w:w="70" w:type="dxa"/>
          <w:right w:w="70" w:type="dxa"/>
        </w:tblCellMar>
        <w:tblLook w:val="04A0" w:firstRow="1" w:lastRow="0" w:firstColumn="1" w:lastColumn="0" w:noHBand="0" w:noVBand="1"/>
      </w:tblPr>
      <w:tblGrid>
        <w:gridCol w:w="2908"/>
        <w:gridCol w:w="1765"/>
      </w:tblGrid>
      <w:tr w:rsidR="004F163A" w:rsidRPr="005820DC" w:rsidTr="00E57F8B">
        <w:trPr>
          <w:trHeight w:val="501"/>
          <w:jc w:val="center"/>
        </w:trPr>
        <w:tc>
          <w:tcPr>
            <w:tcW w:w="2908" w:type="dxa"/>
            <w:tcBorders>
              <w:top w:val="single" w:sz="4" w:space="0" w:color="auto"/>
              <w:left w:val="single" w:sz="4" w:space="0" w:color="auto"/>
              <w:bottom w:val="single" w:sz="4" w:space="0" w:color="auto"/>
              <w:right w:val="single" w:sz="4" w:space="0" w:color="auto"/>
            </w:tcBorders>
            <w:shd w:val="clear" w:color="000000" w:fill="E7E6E6"/>
            <w:vAlign w:val="center"/>
            <w:hideMark/>
          </w:tcPr>
          <w:p w:rsidR="004F163A" w:rsidRPr="005820DC" w:rsidRDefault="004F163A" w:rsidP="00E57F8B">
            <w:pPr>
              <w:spacing w:after="0" w:line="240" w:lineRule="auto"/>
              <w:jc w:val="center"/>
              <w:rPr>
                <w:rFonts w:ascii="Calibri" w:eastAsia="Times New Roman" w:hAnsi="Calibri" w:cs="Calibri"/>
                <w:b/>
                <w:bCs/>
                <w:color w:val="000000"/>
                <w:sz w:val="18"/>
                <w:lang w:eastAsia="es-CO"/>
              </w:rPr>
            </w:pPr>
            <w:r>
              <w:rPr>
                <w:rFonts w:ascii="Calibri" w:eastAsia="Times New Roman" w:hAnsi="Calibri" w:cs="Calibri"/>
                <w:b/>
                <w:bCs/>
                <w:color w:val="000000"/>
                <w:sz w:val="18"/>
                <w:lang w:eastAsia="es-CO"/>
              </w:rPr>
              <w:t>Porcentaje de disminución de la deforestación en el período</w:t>
            </w:r>
          </w:p>
        </w:tc>
        <w:tc>
          <w:tcPr>
            <w:tcW w:w="1765" w:type="dxa"/>
            <w:tcBorders>
              <w:top w:val="single" w:sz="4" w:space="0" w:color="auto"/>
              <w:left w:val="nil"/>
              <w:bottom w:val="single" w:sz="4" w:space="0" w:color="auto"/>
              <w:right w:val="single" w:sz="4" w:space="0" w:color="auto"/>
            </w:tcBorders>
            <w:shd w:val="clear" w:color="000000" w:fill="E7E6E6"/>
            <w:vAlign w:val="center"/>
            <w:hideMark/>
          </w:tcPr>
          <w:p w:rsidR="004F163A" w:rsidRPr="005820DC" w:rsidRDefault="004F163A" w:rsidP="00E57F8B">
            <w:pPr>
              <w:spacing w:after="0" w:line="240" w:lineRule="auto"/>
              <w:jc w:val="center"/>
              <w:rPr>
                <w:rFonts w:ascii="Calibri" w:eastAsia="Times New Roman" w:hAnsi="Calibri" w:cs="Calibri"/>
                <w:b/>
                <w:bCs/>
                <w:color w:val="000000"/>
                <w:sz w:val="18"/>
                <w:lang w:eastAsia="es-CO"/>
              </w:rPr>
            </w:pPr>
            <w:r>
              <w:rPr>
                <w:rFonts w:ascii="Calibri" w:eastAsia="Times New Roman" w:hAnsi="Calibri" w:cs="Calibri"/>
                <w:b/>
                <w:bCs/>
                <w:color w:val="000000"/>
                <w:sz w:val="18"/>
                <w:lang w:eastAsia="es-CO"/>
              </w:rPr>
              <w:t>Incentivo: valor adicional que se podría emitir de</w:t>
            </w:r>
            <w:r w:rsidRPr="005820DC">
              <w:rPr>
                <w:rFonts w:ascii="Calibri" w:eastAsia="Times New Roman" w:hAnsi="Calibri" w:cs="Calibri"/>
                <w:b/>
                <w:bCs/>
                <w:color w:val="000000"/>
                <w:sz w:val="18"/>
                <w:lang w:eastAsia="es-CO"/>
              </w:rPr>
              <w:t xml:space="preserve"> la </w:t>
            </w:r>
            <w:r>
              <w:rPr>
                <w:rFonts w:ascii="Calibri" w:eastAsia="Times New Roman" w:hAnsi="Calibri" w:cs="Calibri"/>
                <w:b/>
                <w:bCs/>
                <w:color w:val="000000"/>
                <w:sz w:val="18"/>
                <w:lang w:eastAsia="es-CO"/>
              </w:rPr>
              <w:t xml:space="preserve">estampilla </w:t>
            </w:r>
            <w:r w:rsidRPr="005820DC">
              <w:rPr>
                <w:rFonts w:ascii="Calibri" w:eastAsia="Times New Roman" w:hAnsi="Calibri" w:cs="Calibri"/>
                <w:b/>
                <w:bCs/>
                <w:color w:val="000000"/>
                <w:sz w:val="18"/>
                <w:lang w:eastAsia="es-CO"/>
              </w:rPr>
              <w:t>(millones de pesos)</w:t>
            </w:r>
          </w:p>
        </w:tc>
      </w:tr>
      <w:tr w:rsidR="004F163A" w:rsidRPr="005820DC" w:rsidTr="00E57F8B">
        <w:trPr>
          <w:trHeight w:val="300"/>
          <w:jc w:val="center"/>
        </w:trPr>
        <w:tc>
          <w:tcPr>
            <w:tcW w:w="2908" w:type="dxa"/>
            <w:tcBorders>
              <w:top w:val="nil"/>
              <w:left w:val="single" w:sz="4" w:space="0" w:color="auto"/>
              <w:bottom w:val="single" w:sz="4" w:space="0" w:color="auto"/>
              <w:right w:val="single" w:sz="4" w:space="0" w:color="auto"/>
            </w:tcBorders>
            <w:shd w:val="clear" w:color="auto" w:fill="auto"/>
            <w:noWrap/>
            <w:vAlign w:val="center"/>
            <w:hideMark/>
          </w:tcPr>
          <w:p w:rsidR="004F163A" w:rsidRPr="005820DC" w:rsidRDefault="004F163A" w:rsidP="00E57F8B">
            <w:pPr>
              <w:spacing w:after="0" w:line="240" w:lineRule="auto"/>
              <w:jc w:val="center"/>
              <w:rPr>
                <w:rFonts w:ascii="Calibri" w:eastAsia="Times New Roman" w:hAnsi="Calibri" w:cs="Calibri"/>
                <w:color w:val="000000"/>
                <w:sz w:val="18"/>
                <w:lang w:eastAsia="es-CO"/>
              </w:rPr>
            </w:pPr>
            <w:r>
              <w:rPr>
                <w:rFonts w:ascii="Calibri" w:eastAsia="Times New Roman" w:hAnsi="Calibri" w:cs="Calibri"/>
                <w:color w:val="000000"/>
                <w:sz w:val="18"/>
                <w:lang w:eastAsia="es-CO"/>
              </w:rPr>
              <w:t>Menos del 5%</w:t>
            </w:r>
          </w:p>
        </w:tc>
        <w:tc>
          <w:tcPr>
            <w:tcW w:w="1765" w:type="dxa"/>
            <w:tcBorders>
              <w:top w:val="nil"/>
              <w:left w:val="nil"/>
              <w:bottom w:val="single" w:sz="4" w:space="0" w:color="auto"/>
              <w:right w:val="single" w:sz="4" w:space="0" w:color="auto"/>
            </w:tcBorders>
            <w:shd w:val="clear" w:color="auto" w:fill="auto"/>
            <w:noWrap/>
            <w:vAlign w:val="bottom"/>
            <w:hideMark/>
          </w:tcPr>
          <w:p w:rsidR="004F163A" w:rsidRPr="005820DC" w:rsidRDefault="004F163A" w:rsidP="00E57F8B">
            <w:pPr>
              <w:spacing w:after="0" w:line="240" w:lineRule="auto"/>
              <w:jc w:val="center"/>
              <w:rPr>
                <w:rFonts w:ascii="Calibri" w:eastAsia="Times New Roman" w:hAnsi="Calibri" w:cs="Calibri"/>
                <w:color w:val="000000"/>
                <w:sz w:val="18"/>
                <w:lang w:eastAsia="es-CO"/>
              </w:rPr>
            </w:pPr>
            <w:r w:rsidRPr="005820DC">
              <w:rPr>
                <w:rFonts w:ascii="Calibri" w:eastAsia="Times New Roman" w:hAnsi="Calibri" w:cs="Calibri"/>
                <w:color w:val="000000"/>
                <w:sz w:val="18"/>
                <w:lang w:eastAsia="es-CO"/>
              </w:rPr>
              <w:t xml:space="preserve">$     </w:t>
            </w:r>
            <w:r>
              <w:rPr>
                <w:rFonts w:ascii="Calibri" w:eastAsia="Times New Roman" w:hAnsi="Calibri" w:cs="Calibri"/>
                <w:color w:val="000000"/>
                <w:sz w:val="18"/>
                <w:lang w:eastAsia="es-CO"/>
              </w:rPr>
              <w:t>20</w:t>
            </w:r>
            <w:r w:rsidRPr="005820DC">
              <w:rPr>
                <w:rFonts w:ascii="Calibri" w:eastAsia="Times New Roman" w:hAnsi="Calibri" w:cs="Calibri"/>
                <w:color w:val="000000"/>
                <w:sz w:val="18"/>
                <w:lang w:eastAsia="es-CO"/>
              </w:rPr>
              <w:t>.000,00</w:t>
            </w:r>
          </w:p>
        </w:tc>
      </w:tr>
      <w:tr w:rsidR="004F163A" w:rsidRPr="005820DC" w:rsidTr="00E57F8B">
        <w:trPr>
          <w:trHeight w:val="300"/>
          <w:jc w:val="center"/>
        </w:trPr>
        <w:tc>
          <w:tcPr>
            <w:tcW w:w="2908" w:type="dxa"/>
            <w:tcBorders>
              <w:top w:val="nil"/>
              <w:left w:val="single" w:sz="4" w:space="0" w:color="auto"/>
              <w:bottom w:val="single" w:sz="4" w:space="0" w:color="auto"/>
              <w:right w:val="single" w:sz="4" w:space="0" w:color="auto"/>
            </w:tcBorders>
            <w:shd w:val="clear" w:color="auto" w:fill="auto"/>
            <w:noWrap/>
            <w:vAlign w:val="center"/>
            <w:hideMark/>
          </w:tcPr>
          <w:p w:rsidR="004F163A" w:rsidRPr="005820DC" w:rsidRDefault="004F163A" w:rsidP="00E57F8B">
            <w:pPr>
              <w:spacing w:after="0" w:line="240" w:lineRule="auto"/>
              <w:jc w:val="center"/>
              <w:rPr>
                <w:rFonts w:ascii="Calibri" w:eastAsia="Times New Roman" w:hAnsi="Calibri" w:cs="Calibri"/>
                <w:color w:val="000000"/>
                <w:sz w:val="18"/>
                <w:lang w:eastAsia="es-CO"/>
              </w:rPr>
            </w:pPr>
            <w:r>
              <w:rPr>
                <w:rFonts w:ascii="Calibri" w:eastAsia="Times New Roman" w:hAnsi="Calibri" w:cs="Calibri"/>
                <w:color w:val="000000"/>
                <w:sz w:val="18"/>
                <w:lang w:eastAsia="es-CO"/>
              </w:rPr>
              <w:t>Del 5% al 10%</w:t>
            </w:r>
          </w:p>
        </w:tc>
        <w:tc>
          <w:tcPr>
            <w:tcW w:w="1765" w:type="dxa"/>
            <w:tcBorders>
              <w:top w:val="nil"/>
              <w:left w:val="nil"/>
              <w:bottom w:val="single" w:sz="4" w:space="0" w:color="auto"/>
              <w:right w:val="single" w:sz="4" w:space="0" w:color="auto"/>
            </w:tcBorders>
            <w:shd w:val="clear" w:color="auto" w:fill="auto"/>
            <w:noWrap/>
            <w:vAlign w:val="bottom"/>
            <w:hideMark/>
          </w:tcPr>
          <w:p w:rsidR="004F163A" w:rsidRPr="005820DC" w:rsidRDefault="004F163A" w:rsidP="00E57F8B">
            <w:pPr>
              <w:spacing w:after="0" w:line="240" w:lineRule="auto"/>
              <w:jc w:val="center"/>
              <w:rPr>
                <w:rFonts w:ascii="Calibri" w:eastAsia="Times New Roman" w:hAnsi="Calibri" w:cs="Calibri"/>
                <w:color w:val="000000"/>
                <w:sz w:val="18"/>
                <w:lang w:eastAsia="es-CO"/>
              </w:rPr>
            </w:pPr>
            <w:r w:rsidRPr="005820DC">
              <w:rPr>
                <w:rFonts w:ascii="Calibri" w:eastAsia="Times New Roman" w:hAnsi="Calibri" w:cs="Calibri"/>
                <w:color w:val="000000"/>
                <w:sz w:val="18"/>
                <w:lang w:eastAsia="es-CO"/>
              </w:rPr>
              <w:t xml:space="preserve">$     </w:t>
            </w:r>
            <w:r>
              <w:rPr>
                <w:rFonts w:ascii="Calibri" w:eastAsia="Times New Roman" w:hAnsi="Calibri" w:cs="Calibri"/>
                <w:color w:val="000000"/>
                <w:sz w:val="18"/>
                <w:lang w:eastAsia="es-CO"/>
              </w:rPr>
              <w:t>30</w:t>
            </w:r>
            <w:r w:rsidRPr="005820DC">
              <w:rPr>
                <w:rFonts w:ascii="Calibri" w:eastAsia="Times New Roman" w:hAnsi="Calibri" w:cs="Calibri"/>
                <w:color w:val="000000"/>
                <w:sz w:val="18"/>
                <w:lang w:eastAsia="es-CO"/>
              </w:rPr>
              <w:t>.000,00</w:t>
            </w:r>
          </w:p>
        </w:tc>
      </w:tr>
      <w:tr w:rsidR="004F163A" w:rsidRPr="005820DC" w:rsidTr="00E57F8B">
        <w:trPr>
          <w:trHeight w:val="300"/>
          <w:jc w:val="center"/>
        </w:trPr>
        <w:tc>
          <w:tcPr>
            <w:tcW w:w="2908" w:type="dxa"/>
            <w:tcBorders>
              <w:top w:val="nil"/>
              <w:left w:val="single" w:sz="4" w:space="0" w:color="auto"/>
              <w:bottom w:val="single" w:sz="4" w:space="0" w:color="auto"/>
              <w:right w:val="single" w:sz="4" w:space="0" w:color="auto"/>
            </w:tcBorders>
            <w:shd w:val="clear" w:color="auto" w:fill="auto"/>
            <w:noWrap/>
            <w:vAlign w:val="center"/>
            <w:hideMark/>
          </w:tcPr>
          <w:p w:rsidR="004F163A" w:rsidRPr="005820DC" w:rsidRDefault="004F163A" w:rsidP="00E57F8B">
            <w:pPr>
              <w:spacing w:after="0" w:line="240" w:lineRule="auto"/>
              <w:jc w:val="center"/>
              <w:rPr>
                <w:rFonts w:ascii="Calibri" w:eastAsia="Times New Roman" w:hAnsi="Calibri" w:cs="Calibri"/>
                <w:color w:val="000000"/>
                <w:sz w:val="18"/>
                <w:lang w:eastAsia="es-CO"/>
              </w:rPr>
            </w:pPr>
            <w:r>
              <w:rPr>
                <w:rFonts w:ascii="Calibri" w:eastAsia="Times New Roman" w:hAnsi="Calibri" w:cs="Calibri"/>
                <w:color w:val="000000"/>
                <w:sz w:val="18"/>
                <w:lang w:eastAsia="es-CO"/>
              </w:rPr>
              <w:t>Hasta el 15%</w:t>
            </w:r>
          </w:p>
        </w:tc>
        <w:tc>
          <w:tcPr>
            <w:tcW w:w="1765" w:type="dxa"/>
            <w:tcBorders>
              <w:top w:val="nil"/>
              <w:left w:val="nil"/>
              <w:bottom w:val="single" w:sz="4" w:space="0" w:color="auto"/>
              <w:right w:val="single" w:sz="4" w:space="0" w:color="auto"/>
            </w:tcBorders>
            <w:shd w:val="clear" w:color="auto" w:fill="auto"/>
            <w:noWrap/>
            <w:vAlign w:val="bottom"/>
            <w:hideMark/>
          </w:tcPr>
          <w:p w:rsidR="004F163A" w:rsidRPr="005820DC" w:rsidRDefault="004F163A" w:rsidP="00E57F8B">
            <w:pPr>
              <w:spacing w:after="0" w:line="240" w:lineRule="auto"/>
              <w:jc w:val="center"/>
              <w:rPr>
                <w:rFonts w:ascii="Calibri" w:eastAsia="Times New Roman" w:hAnsi="Calibri" w:cs="Calibri"/>
                <w:color w:val="000000"/>
                <w:sz w:val="18"/>
                <w:lang w:eastAsia="es-CO"/>
              </w:rPr>
            </w:pPr>
            <w:r w:rsidRPr="005820DC">
              <w:rPr>
                <w:rFonts w:ascii="Calibri" w:eastAsia="Times New Roman" w:hAnsi="Calibri" w:cs="Calibri"/>
                <w:color w:val="000000"/>
                <w:sz w:val="18"/>
                <w:lang w:eastAsia="es-CO"/>
              </w:rPr>
              <w:t xml:space="preserve">$     </w:t>
            </w:r>
            <w:r>
              <w:rPr>
                <w:rFonts w:ascii="Calibri" w:eastAsia="Times New Roman" w:hAnsi="Calibri" w:cs="Calibri"/>
                <w:color w:val="000000"/>
                <w:sz w:val="18"/>
                <w:lang w:eastAsia="es-CO"/>
              </w:rPr>
              <w:t>40</w:t>
            </w:r>
            <w:r w:rsidRPr="005820DC">
              <w:rPr>
                <w:rFonts w:ascii="Calibri" w:eastAsia="Times New Roman" w:hAnsi="Calibri" w:cs="Calibri"/>
                <w:color w:val="000000"/>
                <w:sz w:val="18"/>
                <w:lang w:eastAsia="es-CO"/>
              </w:rPr>
              <w:t>.000,00</w:t>
            </w:r>
          </w:p>
        </w:tc>
      </w:tr>
      <w:tr w:rsidR="004F163A" w:rsidRPr="005820DC" w:rsidTr="00E57F8B">
        <w:trPr>
          <w:trHeight w:val="300"/>
          <w:jc w:val="center"/>
        </w:trPr>
        <w:tc>
          <w:tcPr>
            <w:tcW w:w="2908" w:type="dxa"/>
            <w:tcBorders>
              <w:top w:val="nil"/>
              <w:left w:val="single" w:sz="4" w:space="0" w:color="auto"/>
              <w:bottom w:val="single" w:sz="4" w:space="0" w:color="auto"/>
              <w:right w:val="single" w:sz="4" w:space="0" w:color="auto"/>
            </w:tcBorders>
            <w:shd w:val="clear" w:color="auto" w:fill="auto"/>
            <w:noWrap/>
            <w:vAlign w:val="center"/>
            <w:hideMark/>
          </w:tcPr>
          <w:p w:rsidR="004F163A" w:rsidRPr="005820DC" w:rsidRDefault="004F163A" w:rsidP="00E57F8B">
            <w:pPr>
              <w:spacing w:after="0" w:line="240" w:lineRule="auto"/>
              <w:jc w:val="center"/>
              <w:rPr>
                <w:rFonts w:ascii="Calibri" w:eastAsia="Times New Roman" w:hAnsi="Calibri" w:cs="Calibri"/>
                <w:color w:val="000000"/>
                <w:sz w:val="18"/>
                <w:lang w:eastAsia="es-CO"/>
              </w:rPr>
            </w:pPr>
            <w:r>
              <w:rPr>
                <w:rFonts w:ascii="Calibri" w:eastAsia="Times New Roman" w:hAnsi="Calibri" w:cs="Calibri"/>
                <w:color w:val="000000"/>
                <w:sz w:val="18"/>
                <w:lang w:eastAsia="es-CO"/>
              </w:rPr>
              <w:t>Más del 15%</w:t>
            </w:r>
          </w:p>
        </w:tc>
        <w:tc>
          <w:tcPr>
            <w:tcW w:w="1765" w:type="dxa"/>
            <w:tcBorders>
              <w:top w:val="nil"/>
              <w:left w:val="nil"/>
              <w:bottom w:val="single" w:sz="4" w:space="0" w:color="auto"/>
              <w:right w:val="single" w:sz="4" w:space="0" w:color="auto"/>
            </w:tcBorders>
            <w:shd w:val="clear" w:color="auto" w:fill="auto"/>
            <w:noWrap/>
            <w:vAlign w:val="bottom"/>
            <w:hideMark/>
          </w:tcPr>
          <w:p w:rsidR="004F163A" w:rsidRPr="005820DC" w:rsidRDefault="004F163A" w:rsidP="00E57F8B">
            <w:pPr>
              <w:spacing w:after="0" w:line="240" w:lineRule="auto"/>
              <w:jc w:val="center"/>
              <w:rPr>
                <w:rFonts w:ascii="Calibri" w:eastAsia="Times New Roman" w:hAnsi="Calibri" w:cs="Calibri"/>
                <w:color w:val="000000"/>
                <w:sz w:val="18"/>
                <w:lang w:eastAsia="es-CO"/>
              </w:rPr>
            </w:pPr>
            <w:r w:rsidRPr="005820DC">
              <w:rPr>
                <w:rFonts w:ascii="Calibri" w:eastAsia="Times New Roman" w:hAnsi="Calibri" w:cs="Calibri"/>
                <w:color w:val="000000"/>
                <w:sz w:val="18"/>
                <w:lang w:eastAsia="es-CO"/>
              </w:rPr>
              <w:t xml:space="preserve">$     </w:t>
            </w:r>
            <w:r>
              <w:rPr>
                <w:rFonts w:ascii="Calibri" w:eastAsia="Times New Roman" w:hAnsi="Calibri" w:cs="Calibri"/>
                <w:color w:val="000000"/>
                <w:sz w:val="18"/>
                <w:lang w:eastAsia="es-CO"/>
              </w:rPr>
              <w:t>50</w:t>
            </w:r>
            <w:r w:rsidRPr="005820DC">
              <w:rPr>
                <w:rFonts w:ascii="Calibri" w:eastAsia="Times New Roman" w:hAnsi="Calibri" w:cs="Calibri"/>
                <w:color w:val="000000"/>
                <w:sz w:val="18"/>
                <w:lang w:eastAsia="es-CO"/>
              </w:rPr>
              <w:t>.000,00</w:t>
            </w:r>
          </w:p>
        </w:tc>
      </w:tr>
    </w:tbl>
    <w:p w:rsidR="004F163A" w:rsidRPr="004F163A" w:rsidRDefault="004F163A" w:rsidP="004F163A">
      <w:pPr>
        <w:pStyle w:val="Prrafodelista"/>
        <w:jc w:val="both"/>
        <w:rPr>
          <w:sz w:val="20"/>
        </w:rPr>
      </w:pPr>
    </w:p>
    <w:p w:rsidR="004F163A" w:rsidRDefault="004F163A" w:rsidP="004F163A">
      <w:pPr>
        <w:jc w:val="both"/>
      </w:pPr>
      <w:r>
        <w:t xml:space="preserve">Los ingresos provenientes de este recaudo se destinarán para financiar las estrategias y planes de inversiones que estén enfocados en el control y disminución de la deforestación, la promoción de sistemas productivos climáticamente inteligentes, los sistemas agroforestales, el aprovechamiento sostenible del bosque natural y la restauración y conservación de ecosistemas estratégicos y sus servicios ecosistémicos. </w:t>
      </w:r>
    </w:p>
    <w:p w:rsidR="004F163A" w:rsidRDefault="004F163A" w:rsidP="004F163A">
      <w:pPr>
        <w:jc w:val="both"/>
      </w:pPr>
      <w:r>
        <w:t>El departamento de Caqueta debe guiarse por los boletines de alertas tempranas de deforestación del IDEAM, con el fin de ejecutar acciones en los municipios más afectados por la deforestación y así lograr obtener el mayor valor posible del incentivo propuesto y maximizar así lo recursos que podrán recaudar por medio de la Estampilla en el período siguiente.</w:t>
      </w:r>
    </w:p>
    <w:p w:rsidR="007B1E53" w:rsidRPr="007E72CA" w:rsidRDefault="007B1E53" w:rsidP="00185563">
      <w:pPr>
        <w:jc w:val="both"/>
        <w:rPr>
          <w:b/>
          <w:i/>
          <w:u w:val="single"/>
        </w:rPr>
      </w:pPr>
    </w:p>
    <w:sectPr w:rsidR="007B1E53" w:rsidRPr="007E72C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6D54" w:rsidRDefault="00716D54" w:rsidP="00185563">
      <w:pPr>
        <w:spacing w:after="0" w:line="240" w:lineRule="auto"/>
      </w:pPr>
      <w:r>
        <w:separator/>
      </w:r>
    </w:p>
  </w:endnote>
  <w:endnote w:type="continuationSeparator" w:id="0">
    <w:p w:rsidR="00716D54" w:rsidRDefault="00716D54" w:rsidP="00185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6D54" w:rsidRDefault="00716D54" w:rsidP="00185563">
      <w:pPr>
        <w:spacing w:after="0" w:line="240" w:lineRule="auto"/>
      </w:pPr>
      <w:r>
        <w:separator/>
      </w:r>
    </w:p>
  </w:footnote>
  <w:footnote w:type="continuationSeparator" w:id="0">
    <w:p w:rsidR="00716D54" w:rsidRDefault="00716D54" w:rsidP="00185563">
      <w:pPr>
        <w:spacing w:after="0" w:line="240" w:lineRule="auto"/>
      </w:pPr>
      <w:r>
        <w:continuationSeparator/>
      </w:r>
    </w:p>
  </w:footnote>
  <w:footnote w:id="1">
    <w:p w:rsidR="00185563" w:rsidRDefault="00185563" w:rsidP="00185563">
      <w:pPr>
        <w:pStyle w:val="Textonotapie"/>
      </w:pPr>
      <w:r>
        <w:rPr>
          <w:rStyle w:val="Refdenotaalpie"/>
        </w:rPr>
        <w:footnoteRef/>
      </w:r>
      <w:r>
        <w:t xml:space="preserve"> </w:t>
      </w:r>
      <w:r w:rsidRPr="00B6149A">
        <w:rPr>
          <w:sz w:val="14"/>
        </w:rPr>
        <w:t>Instrumento financiero para la transformación productiva sostenible en áreas de alto valor ecosistémico (ITPS). Diseño y acciones tempranas en el marco de Visión Amazonia FINAGRO. Documento técnico.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91C3C"/>
    <w:multiLevelType w:val="hybridMultilevel"/>
    <w:tmpl w:val="F4528A84"/>
    <w:lvl w:ilvl="0" w:tplc="62F0FBC2">
      <w:start w:val="1"/>
      <w:numFmt w:val="decimal"/>
      <w:lvlText w:val="%1)"/>
      <w:lvlJc w:val="left"/>
      <w:pPr>
        <w:ind w:left="360" w:hanging="360"/>
      </w:pPr>
      <w:rPr>
        <w:rFonts w:hint="default"/>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DB76186"/>
    <w:multiLevelType w:val="hybridMultilevel"/>
    <w:tmpl w:val="2314F7A0"/>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E003703"/>
    <w:multiLevelType w:val="hybridMultilevel"/>
    <w:tmpl w:val="65B688A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1BE3B20"/>
    <w:multiLevelType w:val="hybridMultilevel"/>
    <w:tmpl w:val="F84E57D2"/>
    <w:lvl w:ilvl="0" w:tplc="F3A8FD68">
      <w:numFmt w:val="bullet"/>
      <w:lvlText w:val="-"/>
      <w:lvlJc w:val="left"/>
      <w:pPr>
        <w:ind w:left="720" w:hanging="360"/>
      </w:pPr>
      <w:rPr>
        <w:rFonts w:ascii="Calibri" w:eastAsiaTheme="minorHAnsi" w:hAnsi="Calibri" w:cs="Calibri" w:hint="default"/>
      </w:rPr>
    </w:lvl>
    <w:lvl w:ilvl="1" w:tplc="51CC7246">
      <w:start w:val="27"/>
      <w:numFmt w:val="bullet"/>
      <w:lvlText w:val="-"/>
      <w:lvlJc w:val="left"/>
      <w:pPr>
        <w:ind w:left="643" w:hanging="360"/>
      </w:pPr>
      <w:rPr>
        <w:rFonts w:ascii="Calibri" w:eastAsiaTheme="minorHAnsi" w:hAnsi="Calibri" w:cs="Calibri"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5015364"/>
    <w:multiLevelType w:val="multilevel"/>
    <w:tmpl w:val="32D0B4FE"/>
    <w:lvl w:ilvl="0">
      <w:start w:val="1"/>
      <w:numFmt w:val="decimal"/>
      <w:lvlText w:val="%1."/>
      <w:lvlJc w:val="left"/>
      <w:pPr>
        <w:ind w:left="360" w:hanging="360"/>
      </w:pPr>
      <w:rPr>
        <w:rFonts w:hint="default"/>
      </w:rPr>
    </w:lvl>
    <w:lvl w:ilvl="1">
      <w:start w:val="2"/>
      <w:numFmt w:val="decimal"/>
      <w:lvlText w:val="%1.%2)"/>
      <w:lvlJc w:val="left"/>
      <w:pPr>
        <w:ind w:left="927" w:hanging="360"/>
      </w:pPr>
      <w:rPr>
        <w:rFonts w:hint="default"/>
        <w: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73A1E4C"/>
    <w:multiLevelType w:val="hybridMultilevel"/>
    <w:tmpl w:val="9E4AE59E"/>
    <w:lvl w:ilvl="0" w:tplc="698A3056">
      <w:numFmt w:val="bullet"/>
      <w:lvlText w:val="-"/>
      <w:lvlJc w:val="left"/>
      <w:pPr>
        <w:ind w:left="720" w:hanging="360"/>
      </w:pPr>
      <w:rPr>
        <w:rFonts w:ascii="Calibri" w:eastAsiaTheme="minorHAnsi" w:hAnsi="Calibri" w:cs="Calibri" w:hint="default"/>
        <w:i/>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8892841"/>
    <w:multiLevelType w:val="hybridMultilevel"/>
    <w:tmpl w:val="97F071C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DFB0796"/>
    <w:multiLevelType w:val="hybridMultilevel"/>
    <w:tmpl w:val="343AF860"/>
    <w:lvl w:ilvl="0" w:tplc="B178C5A0">
      <w:start w:val="1"/>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6E7541C5"/>
    <w:multiLevelType w:val="hybridMultilevel"/>
    <w:tmpl w:val="1A9ADB1E"/>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71A046D"/>
    <w:multiLevelType w:val="hybridMultilevel"/>
    <w:tmpl w:val="2D7C63DA"/>
    <w:lvl w:ilvl="0" w:tplc="2EAE3802">
      <w:start w:val="1"/>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9"/>
  </w:num>
  <w:num w:numId="5">
    <w:abstractNumId w:val="3"/>
  </w:num>
  <w:num w:numId="6">
    <w:abstractNumId w:val="1"/>
  </w:num>
  <w:num w:numId="7">
    <w:abstractNumId w:val="7"/>
  </w:num>
  <w:num w:numId="8">
    <w:abstractNumId w:val="5"/>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563"/>
    <w:rsid w:val="00066D32"/>
    <w:rsid w:val="000828C7"/>
    <w:rsid w:val="000F2CD9"/>
    <w:rsid w:val="00105248"/>
    <w:rsid w:val="00185563"/>
    <w:rsid w:val="002553AC"/>
    <w:rsid w:val="002E6BB4"/>
    <w:rsid w:val="00330D5C"/>
    <w:rsid w:val="00384AB5"/>
    <w:rsid w:val="004726F7"/>
    <w:rsid w:val="004A75F2"/>
    <w:rsid w:val="004F163A"/>
    <w:rsid w:val="006564FE"/>
    <w:rsid w:val="00716D54"/>
    <w:rsid w:val="007B1E53"/>
    <w:rsid w:val="007E72CA"/>
    <w:rsid w:val="00804EAF"/>
    <w:rsid w:val="00822A99"/>
    <w:rsid w:val="00975459"/>
    <w:rsid w:val="00A6749E"/>
    <w:rsid w:val="00B21513"/>
    <w:rsid w:val="00DE719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8C255"/>
  <w15:chartTrackingRefBased/>
  <w15:docId w15:val="{2EAE7187-5461-4216-B022-598C2A18E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563"/>
  </w:style>
  <w:style w:type="paragraph" w:styleId="Ttulo2">
    <w:name w:val="heading 2"/>
    <w:basedOn w:val="Normal"/>
    <w:next w:val="Normal"/>
    <w:link w:val="Ttulo2Car"/>
    <w:uiPriority w:val="9"/>
    <w:unhideWhenUsed/>
    <w:qFormat/>
    <w:rsid w:val="00066D3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066D3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066D3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85563"/>
    <w:pPr>
      <w:ind w:left="720"/>
      <w:contextualSpacing/>
    </w:pPr>
  </w:style>
  <w:style w:type="paragraph" w:styleId="Textonotapie">
    <w:name w:val="footnote text"/>
    <w:basedOn w:val="Normal"/>
    <w:link w:val="TextonotapieCar"/>
    <w:uiPriority w:val="99"/>
    <w:unhideWhenUsed/>
    <w:rsid w:val="00185563"/>
    <w:pPr>
      <w:spacing w:after="0" w:line="240" w:lineRule="auto"/>
      <w:jc w:val="both"/>
    </w:pPr>
    <w:rPr>
      <w:rFonts w:eastAsia="Calibri" w:cstheme="minorHAnsi"/>
      <w:sz w:val="24"/>
      <w:szCs w:val="24"/>
    </w:rPr>
  </w:style>
  <w:style w:type="character" w:customStyle="1" w:styleId="TextonotapieCar">
    <w:name w:val="Texto nota pie Car"/>
    <w:basedOn w:val="Fuentedeprrafopredeter"/>
    <w:link w:val="Textonotapie"/>
    <w:uiPriority w:val="99"/>
    <w:rsid w:val="00185563"/>
    <w:rPr>
      <w:rFonts w:eastAsia="Calibri" w:cstheme="minorHAnsi"/>
      <w:sz w:val="24"/>
      <w:szCs w:val="24"/>
    </w:rPr>
  </w:style>
  <w:style w:type="character" w:styleId="Refdenotaalpie">
    <w:name w:val="footnote reference"/>
    <w:basedOn w:val="Fuentedeprrafopredeter"/>
    <w:uiPriority w:val="99"/>
    <w:unhideWhenUsed/>
    <w:rsid w:val="00185563"/>
    <w:rPr>
      <w:vertAlign w:val="superscript"/>
    </w:rPr>
  </w:style>
  <w:style w:type="table" w:styleId="Tablaconcuadrcula">
    <w:name w:val="Table Grid"/>
    <w:basedOn w:val="Tablanormal"/>
    <w:uiPriority w:val="39"/>
    <w:rsid w:val="001052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0524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05248"/>
    <w:rPr>
      <w:rFonts w:ascii="Segoe UI" w:hAnsi="Segoe UI" w:cs="Segoe UI"/>
      <w:sz w:val="18"/>
      <w:szCs w:val="18"/>
    </w:rPr>
  </w:style>
  <w:style w:type="character" w:customStyle="1" w:styleId="Ttulo2Car">
    <w:name w:val="Título 2 Car"/>
    <w:basedOn w:val="Fuentedeprrafopredeter"/>
    <w:link w:val="Ttulo2"/>
    <w:uiPriority w:val="9"/>
    <w:rsid w:val="00066D32"/>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066D32"/>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066D32"/>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Nancy\AppData\Local\Temp\ResumenDistribucionesSGP-3.xls"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1" i="0" u="none" strike="noStrike" kern="1200" spc="0" baseline="0">
                <a:solidFill>
                  <a:schemeClr val="tx1">
                    <a:lumMod val="65000"/>
                    <a:lumOff val="35000"/>
                  </a:schemeClr>
                </a:solidFill>
                <a:latin typeface="+mn-lt"/>
                <a:ea typeface="+mn-ea"/>
                <a:cs typeface="+mn-cs"/>
              </a:defRPr>
            </a:pPr>
            <a:r>
              <a:rPr lang="en-US" b="1"/>
              <a:t>TOTAL ASIGNACIONES SGP 2015-2019</a:t>
            </a:r>
          </a:p>
        </c:rich>
      </c:tx>
      <c:overlay val="0"/>
      <c:spPr>
        <a:noFill/>
        <a:ln>
          <a:noFill/>
        </a:ln>
        <a:effectLst/>
      </c:spPr>
      <c:txPr>
        <a:bodyPr rot="0" spcFirstLastPara="1" vertOverflow="ellipsis" vert="horz" wrap="square" anchor="ctr" anchorCtr="1"/>
        <a:lstStyle/>
        <a:p>
          <a:pPr>
            <a:defRPr sz="960" b="1"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lineChart>
        <c:grouping val="standard"/>
        <c:varyColors val="0"/>
        <c:ser>
          <c:idx val="0"/>
          <c:order val="0"/>
          <c:spPr>
            <a:ln w="28575" cap="rnd">
              <a:solidFill>
                <a:schemeClr val="accent1"/>
              </a:solidFill>
              <a:round/>
            </a:ln>
            <a:effectLst/>
          </c:spPr>
          <c:marker>
            <c:symbol val="none"/>
          </c:marker>
          <c:cat>
            <c:numRef>
              <c:f>'[ResumenDistribucionesSGP-3.xls]Datos Reporte SGP'!$C$35:$K$35</c:f>
              <c:numCache>
                <c:formatCode>General</c:formatCode>
                <c:ptCount val="5"/>
                <c:pt idx="0">
                  <c:v>2015</c:v>
                </c:pt>
                <c:pt idx="1">
                  <c:v>2016</c:v>
                </c:pt>
                <c:pt idx="2">
                  <c:v>2017</c:v>
                </c:pt>
                <c:pt idx="3">
                  <c:v>2018</c:v>
                </c:pt>
                <c:pt idx="4">
                  <c:v>2019</c:v>
                </c:pt>
              </c:numCache>
            </c:numRef>
          </c:cat>
          <c:val>
            <c:numRef>
              <c:f>'[ResumenDistribucionesSGP-3.xls]Datos Reporte SGP'!$C$36:$K$36</c:f>
            </c:numRef>
          </c:val>
          <c:smooth val="0"/>
          <c:extLst>
            <c:ext xmlns:c16="http://schemas.microsoft.com/office/drawing/2014/chart" uri="{C3380CC4-5D6E-409C-BE32-E72D297353CC}">
              <c16:uniqueId val="{00000000-627A-46D4-B15F-48D216A87AA4}"/>
            </c:ext>
          </c:extLst>
        </c:ser>
        <c:ser>
          <c:idx val="1"/>
          <c:order val="1"/>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'[ResumenDistribucionesSGP-3.xls]Datos Reporte SGP'!$C$35:$K$35</c:f>
              <c:numCache>
                <c:formatCode>General</c:formatCode>
                <c:ptCount val="5"/>
                <c:pt idx="0">
                  <c:v>2015</c:v>
                </c:pt>
                <c:pt idx="1">
                  <c:v>2016</c:v>
                </c:pt>
                <c:pt idx="2">
                  <c:v>2017</c:v>
                </c:pt>
                <c:pt idx="3">
                  <c:v>2018</c:v>
                </c:pt>
                <c:pt idx="4">
                  <c:v>2019</c:v>
                </c:pt>
              </c:numCache>
            </c:numRef>
          </c:cat>
          <c:val>
            <c:numRef>
              <c:f>'[ResumenDistribucionesSGP-3.xls]Datos Reporte SGP'!$C$37:$K$37</c:f>
            </c:numRef>
          </c:val>
          <c:smooth val="0"/>
          <c:extLst>
            <c:ext xmlns:c16="http://schemas.microsoft.com/office/drawing/2014/chart" uri="{C3380CC4-5D6E-409C-BE32-E72D297353CC}">
              <c16:uniqueId val="{00000001-627A-46D4-B15F-48D216A87AA4}"/>
            </c:ext>
          </c:extLst>
        </c:ser>
        <c:ser>
          <c:idx val="2"/>
          <c:order val="2"/>
          <c:spPr>
            <a:ln w="28575" cap="rnd">
              <a:solidFill>
                <a:schemeClr val="accent3"/>
              </a:solidFill>
              <a:round/>
            </a:ln>
            <a:effectLst/>
          </c:spPr>
          <c:marker>
            <c:symbol val="none"/>
          </c:marker>
          <c:cat>
            <c:numRef>
              <c:f>'[ResumenDistribucionesSGP-3.xls]Datos Reporte SGP'!$C$35:$K$35</c:f>
              <c:numCache>
                <c:formatCode>General</c:formatCode>
                <c:ptCount val="5"/>
                <c:pt idx="0">
                  <c:v>2015</c:v>
                </c:pt>
                <c:pt idx="1">
                  <c:v>2016</c:v>
                </c:pt>
                <c:pt idx="2">
                  <c:v>2017</c:v>
                </c:pt>
                <c:pt idx="3">
                  <c:v>2018</c:v>
                </c:pt>
                <c:pt idx="4">
                  <c:v>2019</c:v>
                </c:pt>
              </c:numCache>
            </c:numRef>
          </c:cat>
          <c:val>
            <c:numRef>
              <c:f>'[ResumenDistribucionesSGP-3.xls]Datos Reporte SGP'!$C$38:$K$38</c:f>
            </c:numRef>
          </c:val>
          <c:smooth val="0"/>
          <c:extLst>
            <c:ext xmlns:c16="http://schemas.microsoft.com/office/drawing/2014/chart" uri="{C3380CC4-5D6E-409C-BE32-E72D297353CC}">
              <c16:uniqueId val="{00000002-627A-46D4-B15F-48D216A87AA4}"/>
            </c:ext>
          </c:extLst>
        </c:ser>
        <c:ser>
          <c:idx val="3"/>
          <c:order val="3"/>
          <c:spPr>
            <a:ln w="28575" cap="rnd">
              <a:solidFill>
                <a:schemeClr val="accent4"/>
              </a:solidFill>
              <a:round/>
            </a:ln>
            <a:effectLst/>
          </c:spPr>
          <c:marker>
            <c:symbol val="circle"/>
            <c:size val="5"/>
            <c:spPr>
              <a:solidFill>
                <a:schemeClr val="accent4"/>
              </a:solidFill>
              <a:ln w="9525">
                <a:solidFill>
                  <a:schemeClr val="accent4"/>
                </a:solidFill>
              </a:ln>
              <a:effectLst/>
            </c:spPr>
          </c:marker>
          <c:cat>
            <c:numRef>
              <c:f>'[ResumenDistribucionesSGP-3.xls]Datos Reporte SGP'!$C$35:$K$35</c:f>
              <c:numCache>
                <c:formatCode>General</c:formatCode>
                <c:ptCount val="5"/>
                <c:pt idx="0">
                  <c:v>2015</c:v>
                </c:pt>
                <c:pt idx="1">
                  <c:v>2016</c:v>
                </c:pt>
                <c:pt idx="2">
                  <c:v>2017</c:v>
                </c:pt>
                <c:pt idx="3">
                  <c:v>2018</c:v>
                </c:pt>
                <c:pt idx="4">
                  <c:v>2019</c:v>
                </c:pt>
              </c:numCache>
            </c:numRef>
          </c:cat>
          <c:val>
            <c:numRef>
              <c:f>'[ResumenDistribucionesSGP-3.xls]Datos Reporte SGP'!$C$39:$K$39</c:f>
            </c:numRef>
          </c:val>
          <c:smooth val="0"/>
          <c:extLst>
            <c:ext xmlns:c16="http://schemas.microsoft.com/office/drawing/2014/chart" uri="{C3380CC4-5D6E-409C-BE32-E72D297353CC}">
              <c16:uniqueId val="{00000003-627A-46D4-B15F-48D216A87AA4}"/>
            </c:ext>
          </c:extLst>
        </c:ser>
        <c:ser>
          <c:idx val="4"/>
          <c:order val="4"/>
          <c:spPr>
            <a:ln w="28575" cap="rnd">
              <a:solidFill>
                <a:schemeClr val="accent5"/>
              </a:solidFill>
              <a:round/>
            </a:ln>
            <a:effectLst/>
          </c:spPr>
          <c:marker>
            <c:symbol val="none"/>
          </c:marker>
          <c:cat>
            <c:numRef>
              <c:f>'[ResumenDistribucionesSGP-3.xls]Datos Reporte SGP'!$C$35:$K$35</c:f>
              <c:numCache>
                <c:formatCode>General</c:formatCode>
                <c:ptCount val="5"/>
                <c:pt idx="0">
                  <c:v>2015</c:v>
                </c:pt>
                <c:pt idx="1">
                  <c:v>2016</c:v>
                </c:pt>
                <c:pt idx="2">
                  <c:v>2017</c:v>
                </c:pt>
                <c:pt idx="3">
                  <c:v>2018</c:v>
                </c:pt>
                <c:pt idx="4">
                  <c:v>2019</c:v>
                </c:pt>
              </c:numCache>
            </c:numRef>
          </c:cat>
          <c:val>
            <c:numRef>
              <c:f>'[ResumenDistribucionesSGP-3.xls]Datos Reporte SGP'!$C$40:$K$40</c:f>
            </c:numRef>
          </c:val>
          <c:smooth val="0"/>
          <c:extLst>
            <c:ext xmlns:c16="http://schemas.microsoft.com/office/drawing/2014/chart" uri="{C3380CC4-5D6E-409C-BE32-E72D297353CC}">
              <c16:uniqueId val="{00000004-627A-46D4-B15F-48D216A87AA4}"/>
            </c:ext>
          </c:extLst>
        </c:ser>
        <c:ser>
          <c:idx val="9"/>
          <c:order val="9"/>
          <c:spPr>
            <a:ln w="28575" cap="rnd">
              <a:solidFill>
                <a:schemeClr val="accent4">
                  <a:lumMod val="60000"/>
                </a:schemeClr>
              </a:solidFill>
              <a:round/>
            </a:ln>
            <a:effectLst/>
          </c:spPr>
          <c:marker>
            <c:symbol val="none"/>
          </c:marker>
          <c:cat>
            <c:numRef>
              <c:f>'[ResumenDistribucionesSGP-3.xls]Datos Reporte SGP'!$C$35:$K$35</c:f>
              <c:numCache>
                <c:formatCode>General</c:formatCode>
                <c:ptCount val="5"/>
                <c:pt idx="0">
                  <c:v>2015</c:v>
                </c:pt>
                <c:pt idx="1">
                  <c:v>2016</c:v>
                </c:pt>
                <c:pt idx="2">
                  <c:v>2017</c:v>
                </c:pt>
                <c:pt idx="3">
                  <c:v>2018</c:v>
                </c:pt>
                <c:pt idx="4">
                  <c:v>2019</c:v>
                </c:pt>
              </c:numCache>
            </c:numRef>
          </c:cat>
          <c:val>
            <c:numRef>
              <c:f>'[ResumenDistribucionesSGP-3.xls]Datos Reporte SGP'!$C$45:$K$45</c:f>
            </c:numRef>
          </c:val>
          <c:smooth val="0"/>
          <c:extLst>
            <c:ext xmlns:c16="http://schemas.microsoft.com/office/drawing/2014/chart" uri="{C3380CC4-5D6E-409C-BE32-E72D297353CC}">
              <c16:uniqueId val="{00000005-627A-46D4-B15F-48D216A87AA4}"/>
            </c:ext>
          </c:extLst>
        </c:ser>
        <c:ser>
          <c:idx val="10"/>
          <c:order val="10"/>
          <c:spPr>
            <a:ln w="28575" cap="rnd">
              <a:solidFill>
                <a:schemeClr val="accent5">
                  <a:lumMod val="60000"/>
                </a:schemeClr>
              </a:solidFill>
              <a:round/>
            </a:ln>
            <a:effectLst/>
          </c:spPr>
          <c:marker>
            <c:symbol val="none"/>
          </c:marker>
          <c:cat>
            <c:numRef>
              <c:f>'[ResumenDistribucionesSGP-3.xls]Datos Reporte SGP'!$C$35:$K$35</c:f>
              <c:numCache>
                <c:formatCode>General</c:formatCode>
                <c:ptCount val="5"/>
                <c:pt idx="0">
                  <c:v>2015</c:v>
                </c:pt>
                <c:pt idx="1">
                  <c:v>2016</c:v>
                </c:pt>
                <c:pt idx="2">
                  <c:v>2017</c:v>
                </c:pt>
                <c:pt idx="3">
                  <c:v>2018</c:v>
                </c:pt>
                <c:pt idx="4">
                  <c:v>2019</c:v>
                </c:pt>
              </c:numCache>
            </c:numRef>
          </c:cat>
          <c:val>
            <c:numRef>
              <c:f>'[ResumenDistribucionesSGP-3.xls]Datos Reporte SGP'!$C$46:$K$46</c:f>
            </c:numRef>
          </c:val>
          <c:smooth val="0"/>
          <c:extLst>
            <c:ext xmlns:c16="http://schemas.microsoft.com/office/drawing/2014/chart" uri="{C3380CC4-5D6E-409C-BE32-E72D297353CC}">
              <c16:uniqueId val="{00000006-627A-46D4-B15F-48D216A87AA4}"/>
            </c:ext>
          </c:extLst>
        </c:ser>
        <c:ser>
          <c:idx val="11"/>
          <c:order val="11"/>
          <c:spPr>
            <a:ln w="28575" cap="rnd">
              <a:solidFill>
                <a:schemeClr val="accent6">
                  <a:lumMod val="60000"/>
                </a:schemeClr>
              </a:solidFill>
              <a:round/>
            </a:ln>
            <a:effectLst/>
          </c:spPr>
          <c:marker>
            <c:symbol val="none"/>
          </c:marker>
          <c:cat>
            <c:numRef>
              <c:f>'[ResumenDistribucionesSGP-3.xls]Datos Reporte SGP'!$C$35:$K$35</c:f>
              <c:numCache>
                <c:formatCode>General</c:formatCode>
                <c:ptCount val="5"/>
                <c:pt idx="0">
                  <c:v>2015</c:v>
                </c:pt>
                <c:pt idx="1">
                  <c:v>2016</c:v>
                </c:pt>
                <c:pt idx="2">
                  <c:v>2017</c:v>
                </c:pt>
                <c:pt idx="3">
                  <c:v>2018</c:v>
                </c:pt>
                <c:pt idx="4">
                  <c:v>2019</c:v>
                </c:pt>
              </c:numCache>
            </c:numRef>
          </c:cat>
          <c:val>
            <c:numRef>
              <c:f>'[ResumenDistribucionesSGP-3.xls]Datos Reporte SGP'!$C$47:$K$47</c:f>
            </c:numRef>
          </c:val>
          <c:smooth val="0"/>
          <c:extLst>
            <c:ext xmlns:c16="http://schemas.microsoft.com/office/drawing/2014/chart" uri="{C3380CC4-5D6E-409C-BE32-E72D297353CC}">
              <c16:uniqueId val="{00000007-627A-46D4-B15F-48D216A87AA4}"/>
            </c:ext>
          </c:extLst>
        </c:ser>
        <c:ser>
          <c:idx val="12"/>
          <c:order val="12"/>
          <c:spPr>
            <a:ln w="28575" cap="rnd">
              <a:solidFill>
                <a:schemeClr val="accent1">
                  <a:lumMod val="80000"/>
                  <a:lumOff val="20000"/>
                </a:schemeClr>
              </a:solidFill>
              <a:round/>
            </a:ln>
            <a:effectLst/>
          </c:spPr>
          <c:marker>
            <c:symbol val="none"/>
          </c:marker>
          <c:cat>
            <c:numRef>
              <c:f>'[ResumenDistribucionesSGP-3.xls]Datos Reporte SGP'!$C$35:$K$35</c:f>
              <c:numCache>
                <c:formatCode>General</c:formatCode>
                <c:ptCount val="5"/>
                <c:pt idx="0">
                  <c:v>2015</c:v>
                </c:pt>
                <c:pt idx="1">
                  <c:v>2016</c:v>
                </c:pt>
                <c:pt idx="2">
                  <c:v>2017</c:v>
                </c:pt>
                <c:pt idx="3">
                  <c:v>2018</c:v>
                </c:pt>
                <c:pt idx="4">
                  <c:v>2019</c:v>
                </c:pt>
              </c:numCache>
            </c:numRef>
          </c:cat>
          <c:val>
            <c:numRef>
              <c:f>'[ResumenDistribucionesSGP-3.xls]Datos Reporte SGP'!$C$48:$K$48</c:f>
            </c:numRef>
          </c:val>
          <c:smooth val="0"/>
          <c:extLst>
            <c:ext xmlns:c16="http://schemas.microsoft.com/office/drawing/2014/chart" uri="{C3380CC4-5D6E-409C-BE32-E72D297353CC}">
              <c16:uniqueId val="{00000008-627A-46D4-B15F-48D216A87AA4}"/>
            </c:ext>
          </c:extLst>
        </c:ser>
        <c:ser>
          <c:idx val="13"/>
          <c:order val="13"/>
          <c:spPr>
            <a:ln w="28575" cap="rnd">
              <a:solidFill>
                <a:schemeClr val="accent2">
                  <a:lumMod val="80000"/>
                  <a:lumOff val="20000"/>
                </a:schemeClr>
              </a:solidFill>
              <a:round/>
            </a:ln>
            <a:effectLst/>
          </c:spPr>
          <c:marker>
            <c:symbol val="none"/>
          </c:marker>
          <c:cat>
            <c:numRef>
              <c:f>'[ResumenDistribucionesSGP-3.xls]Datos Reporte SGP'!$C$35:$K$35</c:f>
              <c:numCache>
                <c:formatCode>General</c:formatCode>
                <c:ptCount val="5"/>
                <c:pt idx="0">
                  <c:v>2015</c:v>
                </c:pt>
                <c:pt idx="1">
                  <c:v>2016</c:v>
                </c:pt>
                <c:pt idx="2">
                  <c:v>2017</c:v>
                </c:pt>
                <c:pt idx="3">
                  <c:v>2018</c:v>
                </c:pt>
                <c:pt idx="4">
                  <c:v>2019</c:v>
                </c:pt>
              </c:numCache>
            </c:numRef>
          </c:cat>
          <c:val>
            <c:numRef>
              <c:f>'[ResumenDistribucionesSGP-3.xls]Datos Reporte SGP'!$C$49:$K$49</c:f>
            </c:numRef>
          </c:val>
          <c:smooth val="0"/>
          <c:extLst>
            <c:ext xmlns:c16="http://schemas.microsoft.com/office/drawing/2014/chart" uri="{C3380CC4-5D6E-409C-BE32-E72D297353CC}">
              <c16:uniqueId val="{00000009-627A-46D4-B15F-48D216A87AA4}"/>
            </c:ext>
          </c:extLst>
        </c:ser>
        <c:ser>
          <c:idx val="14"/>
          <c:order val="14"/>
          <c:spPr>
            <a:ln w="28575" cap="rnd">
              <a:solidFill>
                <a:schemeClr val="accent3">
                  <a:lumMod val="80000"/>
                  <a:lumOff val="20000"/>
                </a:schemeClr>
              </a:solidFill>
              <a:round/>
            </a:ln>
            <a:effectLst/>
          </c:spPr>
          <c:marker>
            <c:symbol val="none"/>
          </c:marker>
          <c:cat>
            <c:numRef>
              <c:f>'[ResumenDistribucionesSGP-3.xls]Datos Reporte SGP'!$C$35:$K$35</c:f>
              <c:numCache>
                <c:formatCode>General</c:formatCode>
                <c:ptCount val="5"/>
                <c:pt idx="0">
                  <c:v>2015</c:v>
                </c:pt>
                <c:pt idx="1">
                  <c:v>2016</c:v>
                </c:pt>
                <c:pt idx="2">
                  <c:v>2017</c:v>
                </c:pt>
                <c:pt idx="3">
                  <c:v>2018</c:v>
                </c:pt>
                <c:pt idx="4">
                  <c:v>2019</c:v>
                </c:pt>
              </c:numCache>
            </c:numRef>
          </c:cat>
          <c:val>
            <c:numRef>
              <c:f>'[ResumenDistribucionesSGP-3.xls]Datos Reporte SGP'!$C$50:$K$50</c:f>
            </c:numRef>
          </c:val>
          <c:smooth val="0"/>
          <c:extLst>
            <c:ext xmlns:c16="http://schemas.microsoft.com/office/drawing/2014/chart" uri="{C3380CC4-5D6E-409C-BE32-E72D297353CC}">
              <c16:uniqueId val="{0000000A-627A-46D4-B15F-48D216A87AA4}"/>
            </c:ext>
          </c:extLst>
        </c:ser>
        <c:ser>
          <c:idx val="15"/>
          <c:order val="15"/>
          <c:spPr>
            <a:ln w="28575" cap="rnd">
              <a:solidFill>
                <a:schemeClr val="accent4">
                  <a:lumMod val="80000"/>
                  <a:lumOff val="20000"/>
                </a:schemeClr>
              </a:solidFill>
              <a:round/>
            </a:ln>
            <a:effectLst/>
          </c:spPr>
          <c:marker>
            <c:symbol val="none"/>
          </c:marker>
          <c:cat>
            <c:numRef>
              <c:f>'[ResumenDistribucionesSGP-3.xls]Datos Reporte SGP'!$C$35:$K$35</c:f>
              <c:numCache>
                <c:formatCode>General</c:formatCode>
                <c:ptCount val="5"/>
                <c:pt idx="0">
                  <c:v>2015</c:v>
                </c:pt>
                <c:pt idx="1">
                  <c:v>2016</c:v>
                </c:pt>
                <c:pt idx="2">
                  <c:v>2017</c:v>
                </c:pt>
                <c:pt idx="3">
                  <c:v>2018</c:v>
                </c:pt>
                <c:pt idx="4">
                  <c:v>2019</c:v>
                </c:pt>
              </c:numCache>
            </c:numRef>
          </c:cat>
          <c:val>
            <c:numRef>
              <c:f>'[ResumenDistribucionesSGP-3.xls]Datos Reporte SGP'!$C$51:$K$51</c:f>
            </c:numRef>
          </c:val>
          <c:smooth val="0"/>
          <c:extLst>
            <c:ext xmlns:c16="http://schemas.microsoft.com/office/drawing/2014/chart" uri="{C3380CC4-5D6E-409C-BE32-E72D297353CC}">
              <c16:uniqueId val="{0000000B-627A-46D4-B15F-48D216A87AA4}"/>
            </c:ext>
          </c:extLst>
        </c:ser>
        <c:ser>
          <c:idx val="16"/>
          <c:order val="16"/>
          <c:spPr>
            <a:ln w="28575" cap="rnd">
              <a:solidFill>
                <a:schemeClr val="accent5">
                  <a:lumMod val="80000"/>
                  <a:lumOff val="20000"/>
                </a:schemeClr>
              </a:solidFill>
              <a:round/>
            </a:ln>
            <a:effectLst/>
          </c:spPr>
          <c:marker>
            <c:symbol val="none"/>
          </c:marker>
          <c:cat>
            <c:numRef>
              <c:f>'[ResumenDistribucionesSGP-3.xls]Datos Reporte SGP'!$C$35:$K$35</c:f>
              <c:numCache>
                <c:formatCode>General</c:formatCode>
                <c:ptCount val="5"/>
                <c:pt idx="0">
                  <c:v>2015</c:v>
                </c:pt>
                <c:pt idx="1">
                  <c:v>2016</c:v>
                </c:pt>
                <c:pt idx="2">
                  <c:v>2017</c:v>
                </c:pt>
                <c:pt idx="3">
                  <c:v>2018</c:v>
                </c:pt>
                <c:pt idx="4">
                  <c:v>2019</c:v>
                </c:pt>
              </c:numCache>
            </c:numRef>
          </c:cat>
          <c:val>
            <c:numRef>
              <c:f>'[ResumenDistribucionesSGP-3.xls]Datos Reporte SGP'!$C$52:$K$52</c:f>
            </c:numRef>
          </c:val>
          <c:smooth val="0"/>
          <c:extLst>
            <c:ext xmlns:c16="http://schemas.microsoft.com/office/drawing/2014/chart" uri="{C3380CC4-5D6E-409C-BE32-E72D297353CC}">
              <c16:uniqueId val="{0000000C-627A-46D4-B15F-48D216A87AA4}"/>
            </c:ext>
          </c:extLst>
        </c:ser>
        <c:ser>
          <c:idx val="17"/>
          <c:order val="17"/>
          <c:spPr>
            <a:ln w="28575" cap="rnd">
              <a:solidFill>
                <a:schemeClr val="accent6">
                  <a:lumMod val="80000"/>
                  <a:lumOff val="20000"/>
                </a:schemeClr>
              </a:solidFill>
              <a:round/>
            </a:ln>
            <a:effectLst/>
          </c:spPr>
          <c:marker>
            <c:symbol val="none"/>
          </c:marker>
          <c:cat>
            <c:numRef>
              <c:f>'[ResumenDistribucionesSGP-3.xls]Datos Reporte SGP'!$C$35:$K$35</c:f>
              <c:numCache>
                <c:formatCode>General</c:formatCode>
                <c:ptCount val="5"/>
                <c:pt idx="0">
                  <c:v>2015</c:v>
                </c:pt>
                <c:pt idx="1">
                  <c:v>2016</c:v>
                </c:pt>
                <c:pt idx="2">
                  <c:v>2017</c:v>
                </c:pt>
                <c:pt idx="3">
                  <c:v>2018</c:v>
                </c:pt>
                <c:pt idx="4">
                  <c:v>2019</c:v>
                </c:pt>
              </c:numCache>
            </c:numRef>
          </c:cat>
          <c:val>
            <c:numRef>
              <c:f>'[ResumenDistribucionesSGP-3.xls]Datos Reporte SGP'!$C$53:$K$53</c:f>
            </c:numRef>
          </c:val>
          <c:smooth val="0"/>
          <c:extLst>
            <c:ext xmlns:c16="http://schemas.microsoft.com/office/drawing/2014/chart" uri="{C3380CC4-5D6E-409C-BE32-E72D297353CC}">
              <c16:uniqueId val="{0000000D-627A-46D4-B15F-48D216A87AA4}"/>
            </c:ext>
          </c:extLst>
        </c:ser>
        <c:ser>
          <c:idx val="18"/>
          <c:order val="18"/>
          <c:spPr>
            <a:ln w="28575" cap="rnd">
              <a:solidFill>
                <a:schemeClr val="accent1">
                  <a:lumMod val="80000"/>
                </a:schemeClr>
              </a:solidFill>
              <a:round/>
            </a:ln>
            <a:effectLst/>
          </c:spPr>
          <c:marker>
            <c:symbol val="none"/>
          </c:marker>
          <c:cat>
            <c:numRef>
              <c:f>'[ResumenDistribucionesSGP-3.xls]Datos Reporte SGP'!$C$35:$K$35</c:f>
              <c:numCache>
                <c:formatCode>General</c:formatCode>
                <c:ptCount val="5"/>
                <c:pt idx="0">
                  <c:v>2015</c:v>
                </c:pt>
                <c:pt idx="1">
                  <c:v>2016</c:v>
                </c:pt>
                <c:pt idx="2">
                  <c:v>2017</c:v>
                </c:pt>
                <c:pt idx="3">
                  <c:v>2018</c:v>
                </c:pt>
                <c:pt idx="4">
                  <c:v>2019</c:v>
                </c:pt>
              </c:numCache>
            </c:numRef>
          </c:cat>
          <c:val>
            <c:numRef>
              <c:f>'[ResumenDistribucionesSGP-3.xls]Datos Reporte SGP'!$C$54:$K$54</c:f>
            </c:numRef>
          </c:val>
          <c:smooth val="0"/>
          <c:extLst>
            <c:ext xmlns:c16="http://schemas.microsoft.com/office/drawing/2014/chart" uri="{C3380CC4-5D6E-409C-BE32-E72D297353CC}">
              <c16:uniqueId val="{0000000E-627A-46D4-B15F-48D216A87AA4}"/>
            </c:ext>
          </c:extLst>
        </c:ser>
        <c:ser>
          <c:idx val="19"/>
          <c:order val="19"/>
          <c:spPr>
            <a:ln w="28575" cap="rnd">
              <a:solidFill>
                <a:schemeClr val="accent2">
                  <a:lumMod val="80000"/>
                </a:schemeClr>
              </a:solidFill>
              <a:round/>
            </a:ln>
            <a:effectLst/>
          </c:spPr>
          <c:marker>
            <c:symbol val="none"/>
          </c:marker>
          <c:dLbls>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'[ResumenDistribucionesSGP-3.xls]Datos Reporte SGP'!$C$35:$K$35</c:f>
              <c:numCache>
                <c:formatCode>General</c:formatCode>
                <c:ptCount val="5"/>
                <c:pt idx="0">
                  <c:v>2015</c:v>
                </c:pt>
                <c:pt idx="1">
                  <c:v>2016</c:v>
                </c:pt>
                <c:pt idx="2">
                  <c:v>2017</c:v>
                </c:pt>
                <c:pt idx="3">
                  <c:v>2018</c:v>
                </c:pt>
                <c:pt idx="4">
                  <c:v>2019</c:v>
                </c:pt>
              </c:numCache>
            </c:numRef>
          </c:cat>
          <c:val>
            <c:numRef>
              <c:f>'[ResumenDistribucionesSGP-3.xls]Datos Reporte SGP'!$C$55:$K$55</c:f>
              <c:numCache>
                <c:formatCode>_-[$$-240A]\ * #,##0.00_-;\-[$$-240A]\ * #,##0.00_-;_-[$$-240A]\ * "-"??_-;_-@_-</c:formatCode>
                <c:ptCount val="5"/>
                <c:pt idx="0">
                  <c:v>504254108062.53131</c:v>
                </c:pt>
                <c:pt idx="1">
                  <c:v>528941806215.08398</c:v>
                </c:pt>
                <c:pt idx="2">
                  <c:v>535463935931.29053</c:v>
                </c:pt>
                <c:pt idx="3">
                  <c:v>525516053691.59216</c:v>
                </c:pt>
                <c:pt idx="4">
                  <c:v>495068815217</c:v>
                </c:pt>
              </c:numCache>
            </c:numRef>
          </c:val>
          <c:smooth val="0"/>
          <c:extLst>
            <c:ext xmlns:c16="http://schemas.microsoft.com/office/drawing/2014/chart" uri="{C3380CC4-5D6E-409C-BE32-E72D297353CC}">
              <c16:uniqueId val="{0000000F-627A-46D4-B15F-48D216A87AA4}"/>
            </c:ext>
          </c:extLst>
        </c:ser>
        <c:ser>
          <c:idx val="5"/>
          <c:order val="5"/>
          <c:spPr>
            <a:ln w="28575" cap="rnd">
              <a:solidFill>
                <a:schemeClr val="accent6"/>
              </a:solidFill>
              <a:round/>
            </a:ln>
            <a:effectLst/>
          </c:spPr>
          <c:marker>
            <c:symbol val="circle"/>
            <c:size val="5"/>
            <c:spPr>
              <a:solidFill>
                <a:schemeClr val="accent6"/>
              </a:solidFill>
              <a:ln w="9525">
                <a:solidFill>
                  <a:schemeClr val="accent6"/>
                </a:solidFill>
              </a:ln>
              <a:effectLst/>
            </c:spPr>
          </c:marker>
          <c:cat>
            <c:numRef>
              <c:f>'[ResumenDistribucionesSGP-3.xls]Datos Reporte SGP'!$C$35:$K$35</c:f>
              <c:numCache>
                <c:formatCode>General</c:formatCode>
                <c:ptCount val="5"/>
                <c:pt idx="0">
                  <c:v>2015</c:v>
                </c:pt>
                <c:pt idx="1">
                  <c:v>2016</c:v>
                </c:pt>
                <c:pt idx="2">
                  <c:v>2017</c:v>
                </c:pt>
                <c:pt idx="3">
                  <c:v>2018</c:v>
                </c:pt>
                <c:pt idx="4">
                  <c:v>2019</c:v>
                </c:pt>
              </c:numCache>
            </c:numRef>
          </c:cat>
          <c:val>
            <c:numRef>
              <c:f>'[ResumenDistribucionesSGP-3.xls]Datos Reporte SGP'!$C$41:$K$41</c:f>
            </c:numRef>
          </c:val>
          <c:smooth val="0"/>
          <c:extLst>
            <c:ext xmlns:c16="http://schemas.microsoft.com/office/drawing/2014/chart" uri="{C3380CC4-5D6E-409C-BE32-E72D297353CC}">
              <c16:uniqueId val="{00000010-627A-46D4-B15F-48D216A87AA4}"/>
            </c:ext>
          </c:extLst>
        </c:ser>
        <c:ser>
          <c:idx val="6"/>
          <c:order val="6"/>
          <c:spPr>
            <a:ln w="28575" cap="rnd">
              <a:solidFill>
                <a:schemeClr val="accent1">
                  <a:lumMod val="60000"/>
                </a:schemeClr>
              </a:solidFill>
              <a:round/>
            </a:ln>
            <a:effectLst/>
          </c:spPr>
          <c:marker>
            <c:symbol val="none"/>
          </c:marker>
          <c:cat>
            <c:numRef>
              <c:f>'[ResumenDistribucionesSGP-3.xls]Datos Reporte SGP'!$C$35:$K$35</c:f>
              <c:numCache>
                <c:formatCode>General</c:formatCode>
                <c:ptCount val="5"/>
                <c:pt idx="0">
                  <c:v>2015</c:v>
                </c:pt>
                <c:pt idx="1">
                  <c:v>2016</c:v>
                </c:pt>
                <c:pt idx="2">
                  <c:v>2017</c:v>
                </c:pt>
                <c:pt idx="3">
                  <c:v>2018</c:v>
                </c:pt>
                <c:pt idx="4">
                  <c:v>2019</c:v>
                </c:pt>
              </c:numCache>
            </c:numRef>
          </c:cat>
          <c:val>
            <c:numRef>
              <c:f>'[ResumenDistribucionesSGP-3.xls]Datos Reporte SGP'!$C$42:$K$42</c:f>
            </c:numRef>
          </c:val>
          <c:smooth val="0"/>
          <c:extLst>
            <c:ext xmlns:c16="http://schemas.microsoft.com/office/drawing/2014/chart" uri="{C3380CC4-5D6E-409C-BE32-E72D297353CC}">
              <c16:uniqueId val="{00000011-627A-46D4-B15F-48D216A87AA4}"/>
            </c:ext>
          </c:extLst>
        </c:ser>
        <c:ser>
          <c:idx val="7"/>
          <c:order val="7"/>
          <c:spPr>
            <a:ln w="28575"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cat>
            <c:numRef>
              <c:f>'[ResumenDistribucionesSGP-3.xls]Datos Reporte SGP'!$C$35:$K$35</c:f>
              <c:numCache>
                <c:formatCode>General</c:formatCode>
                <c:ptCount val="5"/>
                <c:pt idx="0">
                  <c:v>2015</c:v>
                </c:pt>
                <c:pt idx="1">
                  <c:v>2016</c:v>
                </c:pt>
                <c:pt idx="2">
                  <c:v>2017</c:v>
                </c:pt>
                <c:pt idx="3">
                  <c:v>2018</c:v>
                </c:pt>
                <c:pt idx="4">
                  <c:v>2019</c:v>
                </c:pt>
              </c:numCache>
            </c:numRef>
          </c:cat>
          <c:val>
            <c:numRef>
              <c:f>'[ResumenDistribucionesSGP-3.xls]Datos Reporte SGP'!$C$43:$K$43</c:f>
            </c:numRef>
          </c:val>
          <c:smooth val="0"/>
          <c:extLst>
            <c:ext xmlns:c16="http://schemas.microsoft.com/office/drawing/2014/chart" uri="{C3380CC4-5D6E-409C-BE32-E72D297353CC}">
              <c16:uniqueId val="{00000012-627A-46D4-B15F-48D216A87AA4}"/>
            </c:ext>
          </c:extLst>
        </c:ser>
        <c:ser>
          <c:idx val="8"/>
          <c:order val="8"/>
          <c:spPr>
            <a:ln w="28575" cap="rnd">
              <a:solidFill>
                <a:schemeClr val="accent3">
                  <a:lumMod val="60000"/>
                </a:schemeClr>
              </a:solidFill>
              <a:round/>
            </a:ln>
            <a:effectLst/>
          </c:spPr>
          <c:marker>
            <c:symbol val="none"/>
          </c:marker>
          <c:cat>
            <c:numRef>
              <c:f>'[ResumenDistribucionesSGP-3.xls]Datos Reporte SGP'!$C$35:$K$35</c:f>
              <c:numCache>
                <c:formatCode>General</c:formatCode>
                <c:ptCount val="5"/>
                <c:pt idx="0">
                  <c:v>2015</c:v>
                </c:pt>
                <c:pt idx="1">
                  <c:v>2016</c:v>
                </c:pt>
                <c:pt idx="2">
                  <c:v>2017</c:v>
                </c:pt>
                <c:pt idx="3">
                  <c:v>2018</c:v>
                </c:pt>
                <c:pt idx="4">
                  <c:v>2019</c:v>
                </c:pt>
              </c:numCache>
            </c:numRef>
          </c:cat>
          <c:val>
            <c:numRef>
              <c:f>'[ResumenDistribucionesSGP-3.xls]Datos Reporte SGP'!$C$44:$K$44</c:f>
            </c:numRef>
          </c:val>
          <c:smooth val="0"/>
          <c:extLst>
            <c:ext xmlns:c16="http://schemas.microsoft.com/office/drawing/2014/chart" uri="{C3380CC4-5D6E-409C-BE32-E72D297353CC}">
              <c16:uniqueId val="{00000013-627A-46D4-B15F-48D216A87AA4}"/>
            </c:ext>
          </c:extLst>
        </c:ser>
        <c:dLbls>
          <c:showLegendKey val="0"/>
          <c:showVal val="0"/>
          <c:showCatName val="0"/>
          <c:showSerName val="0"/>
          <c:showPercent val="0"/>
          <c:showBubbleSize val="0"/>
        </c:dLbls>
        <c:smooth val="0"/>
        <c:axId val="558938824"/>
        <c:axId val="558939152"/>
      </c:lineChart>
      <c:catAx>
        <c:axId val="558938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CO"/>
          </a:p>
        </c:txPr>
        <c:crossAx val="558939152"/>
        <c:crosses val="autoZero"/>
        <c:auto val="1"/>
        <c:lblAlgn val="ctr"/>
        <c:lblOffset val="100"/>
        <c:noMultiLvlLbl val="0"/>
      </c:catAx>
      <c:valAx>
        <c:axId val="558939152"/>
        <c:scaling>
          <c:orientation val="minMax"/>
        </c:scaling>
        <c:delete val="0"/>
        <c:axPos val="l"/>
        <c:majorGridlines>
          <c:spPr>
            <a:ln w="9525" cap="flat" cmpd="sng" algn="ctr">
              <a:solidFill>
                <a:schemeClr val="tx1">
                  <a:lumMod val="15000"/>
                  <a:lumOff val="85000"/>
                </a:schemeClr>
              </a:solidFill>
              <a:round/>
            </a:ln>
            <a:effectLst/>
          </c:spPr>
        </c:majorGridlines>
        <c:numFmt formatCode="_-[$$-240A]\ * #,##0.00_-;\-[$$-240A]\ * #,##0.00_-;_-[$$-240A]\ * &quot;-&quot;??_-;_-@_-"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CO"/>
          </a:p>
        </c:txPr>
        <c:crossAx val="5589388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4348</Words>
  <Characters>23917</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Garcia Castro</dc:creator>
  <cp:keywords/>
  <dc:description/>
  <cp:lastModifiedBy>Maria Adelaida Fernandez</cp:lastModifiedBy>
  <cp:revision>2</cp:revision>
  <dcterms:created xsi:type="dcterms:W3CDTF">2020-02-24T19:48:00Z</dcterms:created>
  <dcterms:modified xsi:type="dcterms:W3CDTF">2020-02-24T19:48:00Z</dcterms:modified>
</cp:coreProperties>
</file>